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Solid Biosciences Inc.</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780" w:type="dxa"/>
            <w:vAlign w:val="bottom"/>
            <w:gridSpan w:val="5"/>
          </w:tcPr>
          <w:p>
            <w:pPr>
              <w:jc w:val="center"/>
              <w:ind w:left="3355"/>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4500" w:type="dxa"/>
            <w:vAlign w:val="bottom"/>
            <w:gridSpan w:val="2"/>
            <w:vMerge w:val="restart"/>
          </w:tcPr>
          <w:p>
            <w:pPr>
              <w:jc w:val="center"/>
              <w:ind w:left="9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60" w:type="dxa"/>
            <w:vAlign w:val="bottom"/>
            <w:vMerge w:val="restart"/>
          </w:tcPr>
          <w:p>
            <w:pPr>
              <w:jc w:val="right"/>
              <w:ind w:right="2238"/>
              <w:spacing w:after="0"/>
              <w:rPr>
                <w:sz w:val="20"/>
                <w:szCs w:val="20"/>
                <w:color w:val="auto"/>
              </w:rPr>
            </w:pPr>
            <w:r>
              <w:rPr>
                <w:rFonts w:ascii="Times New Roman" w:cs="Times New Roman" w:eastAsia="Times New Roman" w:hAnsi="Times New Roman"/>
                <w:sz w:val="18"/>
                <w:szCs w:val="18"/>
                <w:b w:val="1"/>
                <w:bCs w:val="1"/>
                <w:color w:val="auto"/>
              </w:rPr>
              <w:t>90-0943402</w:t>
            </w:r>
          </w:p>
        </w:tc>
        <w:tc>
          <w:tcPr>
            <w:tcW w:w="0" w:type="dxa"/>
            <w:vAlign w:val="bottom"/>
          </w:tcPr>
          <w:p>
            <w:pPr>
              <w:spacing w:after="0"/>
              <w:rPr>
                <w:sz w:val="1"/>
                <w:szCs w:val="1"/>
                <w:color w:val="auto"/>
              </w:rPr>
            </w:pPr>
          </w:p>
        </w:tc>
      </w:tr>
      <w:tr>
        <w:trPr>
          <w:trHeight w:val="306"/>
        </w:trPr>
        <w:tc>
          <w:tcPr>
            <w:tcW w:w="450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jc w:val="center"/>
              <w:ind w:left="93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jc w:val="center"/>
              <w:ind w:right="19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9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tcPr>
          <w:p>
            <w:pPr>
              <w:jc w:val="center"/>
              <w:ind w:right="19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gridSpan w:val="2"/>
          </w:tcPr>
          <w:p>
            <w:pPr>
              <w:jc w:val="center"/>
              <w:ind w:left="955"/>
              <w:spacing w:after="0"/>
              <w:rPr>
                <w:sz w:val="20"/>
                <w:szCs w:val="20"/>
                <w:color w:val="auto"/>
              </w:rPr>
            </w:pPr>
            <w:r>
              <w:rPr>
                <w:rFonts w:ascii="Times New Roman" w:cs="Times New Roman" w:eastAsia="Times New Roman" w:hAnsi="Times New Roman"/>
                <w:sz w:val="18"/>
                <w:szCs w:val="18"/>
                <w:b w:val="1"/>
                <w:bCs w:val="1"/>
                <w:color w:val="auto"/>
                <w:w w:val="99"/>
              </w:rPr>
              <w:t>500 Rutherford Avenue, Third Floor</w:t>
            </w:r>
          </w:p>
        </w:tc>
        <w:tc>
          <w:tcPr>
            <w:tcW w:w="2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935"/>
              <w:spacing w:after="0"/>
              <w:rPr>
                <w:sz w:val="20"/>
                <w:szCs w:val="20"/>
                <w:color w:val="auto"/>
              </w:rPr>
            </w:pPr>
            <w:r>
              <w:rPr>
                <w:rFonts w:ascii="Times New Roman" w:cs="Times New Roman" w:eastAsia="Times New Roman" w:hAnsi="Times New Roman"/>
                <w:sz w:val="18"/>
                <w:szCs w:val="18"/>
                <w:b w:val="1"/>
                <w:bCs w:val="1"/>
                <w:color w:val="auto"/>
                <w:w w:val="99"/>
              </w:rPr>
              <w:t>Charlestown, MA</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tcPr>
          <w:p>
            <w:pPr>
              <w:jc w:val="right"/>
              <w:ind w:right="2438"/>
              <w:spacing w:after="0"/>
              <w:rPr>
                <w:sz w:val="20"/>
                <w:szCs w:val="20"/>
                <w:color w:val="auto"/>
              </w:rPr>
            </w:pPr>
            <w:r>
              <w:rPr>
                <w:rFonts w:ascii="Times New Roman" w:cs="Times New Roman" w:eastAsia="Times New Roman" w:hAnsi="Times New Roman"/>
                <w:sz w:val="18"/>
                <w:szCs w:val="18"/>
                <w:b w:val="1"/>
                <w:bCs w:val="1"/>
                <w:color w:val="auto"/>
              </w:rPr>
              <w:t>02129</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9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tcPr>
          <w:p>
            <w:pPr>
              <w:jc w:val="center"/>
              <w:ind w:right="19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7"/>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(617) 337-4680</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11240" w:type="dxa"/>
            <w:vAlign w:val="bottom"/>
            <w:gridSpan w:val="6"/>
          </w:tcPr>
          <w:p>
            <w:pPr>
              <w:ind w:left="36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64"/>
        </w:trPr>
        <w:tc>
          <w:tcPr>
            <w:tcW w:w="38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00" w:type="dxa"/>
            <w:vAlign w:val="bottom"/>
            <w:tcBorders>
              <w:bottom w:val="single" w:sz="8" w:color="auto"/>
            </w:tcBorders>
          </w:tcPr>
          <w:p>
            <w:pPr>
              <w:spacing w:after="0"/>
              <w:rPr>
                <w:sz w:val="24"/>
                <w:szCs w:val="24"/>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8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jc w:val="center"/>
              <w:ind w:right="218"/>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8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700" w:type="dxa"/>
            <w:vAlign w:val="bottom"/>
            <w:tcBorders>
              <w:bottom w:val="single" w:sz="8" w:color="auto"/>
            </w:tcBorders>
          </w:tcPr>
          <w:p>
            <w:pPr>
              <w:spacing w:after="0"/>
              <w:rPr>
                <w:sz w:val="24"/>
                <w:szCs w:val="24"/>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SLDB</w:t>
            </w:r>
          </w:p>
        </w:tc>
        <w:tc>
          <w:tcPr>
            <w:tcW w:w="28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jc w:val="center"/>
              <w:ind w:right="218"/>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1551940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p>
      <w:pPr>
        <w:jc w:val="both"/>
        <w:ind w:right="140" w:firstLine="509"/>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9"/>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0"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08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8, 2026, the registrant had 98,449,606 shares of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1217295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1" w:right="399" w:bottom="1440" w:gutter="0" w:footer="0" w:header="0"/>
        </w:sectPr>
      </w:pPr>
    </w:p>
    <w:bookmarkStart w:id="2" w:name="page3"/>
    <w:bookmarkEnd w:id="2"/>
    <w:p>
      <w:pPr>
        <w:ind w:left="446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CAUTIONARY NOTE REGARDING FORWARD-LOOKING STATEMENTS AND INDUSTRY DATA</w:t>
            </w:r>
          </w:p>
        </w:tc>
        <w:tc>
          <w:tcPr>
            <w:tcW w:w="2400" w:type="dxa"/>
            <w:vAlign w:val="bottom"/>
            <w:gridSpan w:val="7"/>
            <w:vMerge w:val="restart"/>
          </w:tcPr>
          <w:p>
            <w:pPr>
              <w:spacing w:after="0"/>
              <w:rPr>
                <w:sz w:val="15"/>
                <w:szCs w:val="15"/>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160" w:type="dxa"/>
            <w:vAlign w:val="bottom"/>
            <w:tcBorders>
              <w:bottom w:val="single" w:sz="8" w:color="0000FF"/>
            </w:tcBorders>
            <w:gridSpan w:val="18"/>
            <w:vMerge w:val="continue"/>
          </w:tcPr>
          <w:p>
            <w:pPr>
              <w:spacing w:after="0"/>
              <w:rPr>
                <w:sz w:val="14"/>
                <w:szCs w:val="14"/>
                <w:color w:val="auto"/>
              </w:rPr>
            </w:pPr>
          </w:p>
        </w:tc>
        <w:tc>
          <w:tcPr>
            <w:tcW w:w="2400" w:type="dxa"/>
            <w:vAlign w:val="bottom"/>
            <w:gridSpan w:val="7"/>
            <w:vMerge w:val="continue"/>
          </w:tcPr>
          <w:p>
            <w:pPr>
              <w:spacing w:after="0"/>
              <w:rPr>
                <w:sz w:val="14"/>
                <w:szCs w:val="14"/>
                <w:color w:val="auto"/>
              </w:rPr>
            </w:pPr>
          </w:p>
        </w:tc>
        <w:tc>
          <w:tcPr>
            <w:tcW w:w="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FINANCIAL INFORMATION</w:t>
            </w:r>
          </w:p>
        </w:tc>
        <w:tc>
          <w:tcPr>
            <w:tcW w:w="7040" w:type="dxa"/>
            <w:vAlign w:val="bottom"/>
            <w:gridSpan w:val="1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6"/>
              </w:rPr>
              <w:t>Financial Statements (Unaudited)</w:t>
            </w:r>
          </w:p>
        </w:tc>
        <w:tc>
          <w:tcPr>
            <w:tcW w:w="20" w:type="dxa"/>
            <w:vAlign w:val="bottom"/>
            <w:tcBorders>
              <w:bottom w:val="single" w:sz="8" w:color="0000EE"/>
            </w:tcBorders>
          </w:tcPr>
          <w:p>
            <w:pPr>
              <w:spacing w:after="0"/>
              <w:rPr>
                <w:sz w:val="17"/>
                <w:szCs w:val="17"/>
                <w:color w:val="auto"/>
              </w:rPr>
            </w:pPr>
          </w:p>
        </w:tc>
        <w:tc>
          <w:tcPr>
            <w:tcW w:w="7000" w:type="dxa"/>
            <w:vAlign w:val="bottom"/>
            <w:gridSpan w:val="1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at March 31, 2026 and December 31, 2025</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20" w:type="dxa"/>
            <w:vAlign w:val="bottom"/>
            <w:tcBorders>
              <w:bottom w:val="single" w:sz="8" w:color="0000EE"/>
            </w:tcBorders>
          </w:tcPr>
          <w:p>
            <w:pPr>
              <w:spacing w:after="0"/>
              <w:rPr>
                <w:sz w:val="17"/>
                <w:szCs w:val="17"/>
                <w:color w:val="auto"/>
              </w:rPr>
            </w:pPr>
          </w:p>
        </w:tc>
        <w:tc>
          <w:tcPr>
            <w:tcW w:w="126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2026 and 2025</w:t>
            </w:r>
          </w:p>
        </w:tc>
        <w:tc>
          <w:tcPr>
            <w:tcW w:w="20" w:type="dxa"/>
            <w:vAlign w:val="bottom"/>
            <w:tcBorders>
              <w:bottom w:val="single" w:sz="8" w:color="0000EE"/>
            </w:tcBorders>
          </w:tcPr>
          <w:p>
            <w:pPr>
              <w:spacing w:after="0"/>
              <w:rPr>
                <w:sz w:val="17"/>
                <w:szCs w:val="17"/>
                <w:color w:val="auto"/>
              </w:rPr>
            </w:pPr>
          </w:p>
        </w:tc>
        <w:tc>
          <w:tcPr>
            <w:tcW w:w="54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7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8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240" w:type="dxa"/>
            <w:vAlign w:val="bottom"/>
            <w:gridSpan w:val="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980" w:type="dxa"/>
            <w:vAlign w:val="bottom"/>
            <w:gridSpan w:val="9"/>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9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6"/>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0"/>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3"/>
          </w:tcPr>
          <w:p>
            <w:pPr>
              <w:spacing w:after="0"/>
              <w:rPr>
                <w:sz w:val="17"/>
                <w:szCs w:val="17"/>
                <w:color w:val="auto"/>
              </w:rPr>
            </w:pPr>
          </w:p>
        </w:tc>
        <w:tc>
          <w:tcPr>
            <w:tcW w:w="8120" w:type="dxa"/>
            <w:vAlign w:val="bottom"/>
            <w:gridSpan w:val="1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28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100" w:type="dxa"/>
            <w:vAlign w:val="bottom"/>
            <w:gridSpan w:val="1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5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86"/>
              </w:rPr>
              <w:t>Exhibits</w:t>
            </w:r>
          </w:p>
        </w:tc>
        <w:tc>
          <w:tcPr>
            <w:tcW w:w="680" w:type="dxa"/>
            <w:vAlign w:val="bottom"/>
            <w:tcBorders>
              <w:top w:val="single" w:sz="8" w:color="0000FF"/>
            </w:tcBorders>
            <w:gridSpan w:val="4"/>
          </w:tcPr>
          <w:p>
            <w:pPr>
              <w:spacing w:after="0"/>
              <w:rPr>
                <w:sz w:val="17"/>
                <w:szCs w:val="17"/>
                <w:color w:val="auto"/>
              </w:rPr>
            </w:pPr>
          </w:p>
        </w:tc>
        <w:tc>
          <w:tcPr>
            <w:tcW w:w="8140" w:type="dxa"/>
            <w:vAlign w:val="bottom"/>
            <w:gridSpan w:val="19"/>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412"/>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1215"/>
        </w:trPr>
        <w:tc>
          <w:tcPr>
            <w:tcW w:w="11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Quarterly Report on Form 10-Q.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Quarterly Report on Form 10-Q.</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design and results of ongoing and planned preclinical studies and clinical trials for our neuromuscular (e.g., SGT-003, SGT-212), cardiac (e.g., SGT-501, SGT-601) or other future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U.S. and foreign regulatory approval of our neuromuscular (e.g., SGT-003, SGT-212), cardiac (e.g., SGT-501, SGT-601) or other future candidates, and the timing and scope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regulatory interactions;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populations and potential market opportunity for our neuromuscular (e.g., SGT-003, SGT-212), cardiac (e.g., SGT-501, SGT-601) or other future candidates, if approved for commercial use;</w:t>
      </w:r>
    </w:p>
    <w:p>
      <w:pPr>
        <w:spacing w:after="0" w:line="53"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capacity constraints and the scalability and commercial viability of our manufacturing methods and processes;</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neuromuscular (e.g., SGT-003, SGT-212), cardiac (e.g.,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neuromuscular (e.g., SGT-003, SGT-212), cardiac (e.g., SGT-501, SGT-601) or other future candidates we may develop, if approved;</w:t>
      </w:r>
    </w:p>
    <w:p>
      <w:pPr>
        <w:spacing w:after="0" w:line="53"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sales, marketing and distribution capabilities and entry into agreements with third parties to market and sell our neuromuscular (e.g., SGT-003, SGT-212), cardiac (e.g.,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neuromuscular (e.g., SGT-003, SGT-212), cardiac (e.g.,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platform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use of capital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ongoing losses, future revenue, capital requirements, and need for and ability to obtain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and market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and global political and economic developments, including the imposition of tariffs or other trade restrictions, on our business, operations, strategy and goals.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Quarterly Report on Form 10-Q. In addition, even if our results of operations, financial condition, business and prospects are consistent with the forward-looking statements contained in this Quarterly Report on Form 10-Q, those results may not be indicative of results to be expected in subsequent periods.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right="2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We qualify all of our forward-looking statements by these cautionary statements.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Quarterly Report on Form 10-Q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used in this Quarterly Report on Form 10-Q, the terms “Solid,” “the Company,” “we,” “us” and “our” refer to Solid Biosciences Inc., and its consolidated subsidiaries, unless the context indicates otherwise. Solid Biosciences Inc. was organized in March 2013 under the name SOLID Ventures Management, LLC and operated as a Delaware limited liability company until immediately prior to the effectiveness of its registration statement on Form S-1 on January 25, 2018, at which time it completed a statutory corporate conversion into a Delaware corporation and changed its name to Solid Biosciences Inc.</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9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297,099</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59,900</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16,384</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current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Pr>
          <w:p>
            <w:pPr>
              <w:spacing w:after="0"/>
              <w:rPr>
                <w:sz w:val="17"/>
                <w:szCs w:val="17"/>
                <w:color w:val="auto"/>
              </w:rPr>
            </w:pPr>
          </w:p>
        </w:tc>
      </w:tr>
      <w:tr>
        <w:trPr>
          <w:trHeight w:val="196"/>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396,788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205,456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21,924</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7"/>
                <w:szCs w:val="17"/>
                <w:color w:val="auto"/>
              </w:rPr>
            </w:pPr>
          </w:p>
        </w:tc>
      </w:tr>
      <w:tr>
        <w:trPr>
          <w:trHeight w:val="196"/>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422,893</w:t>
            </w:r>
          </w:p>
        </w:tc>
        <w:tc>
          <w:tcPr>
            <w:tcW w:w="18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232,540</w:t>
            </w:r>
          </w:p>
        </w:tc>
        <w:tc>
          <w:tcPr>
            <w:tcW w:w="12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18,945</w:t>
            </w: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liabilities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20" w:type="dxa"/>
            <w:vAlign w:val="bottom"/>
          </w:tcPr>
          <w:p>
            <w:pPr>
              <w:spacing w:after="0"/>
              <w:rPr>
                <w:sz w:val="17"/>
                <w:szCs w:val="17"/>
                <w:color w:val="auto"/>
              </w:rPr>
            </w:pPr>
          </w:p>
        </w:tc>
      </w:tr>
      <w:tr>
        <w:trPr>
          <w:trHeight w:val="196"/>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19,058</w:t>
            </w:r>
          </w:p>
        </w:tc>
        <w:tc>
          <w:tcPr>
            <w:tcW w:w="120" w:type="dxa"/>
            <w:vAlign w:val="bottom"/>
          </w:tcPr>
          <w:p>
            <w:pPr>
              <w:spacing w:after="0"/>
              <w:rPr>
                <w:sz w:val="17"/>
                <w:szCs w:val="17"/>
                <w:color w:val="auto"/>
              </w:rPr>
            </w:pPr>
          </w:p>
        </w:tc>
      </w:tr>
      <w:tr>
        <w:trPr>
          <w:trHeight w:val="196"/>
        </w:trPr>
        <w:tc>
          <w:tcPr>
            <w:tcW w:w="7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48,761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52,530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at March 31, 2026 and December 31, 2025;</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 shares issued or outstanding at March 31, 2026 and December 31, 2025</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$0.001 par value; 240,000,000 shares authorized at March 31, 2026 and December 31, 2025;</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98,394,720 and 78,967,888 shares issued and outstanding at March 31, 2026 and December 31, 2025, respectively</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FF0FC"/>
          </w:tcPr>
          <w:p>
            <w:pPr>
              <w:spacing w:after="0"/>
              <w:rPr>
                <w:sz w:val="18"/>
                <w:szCs w:val="18"/>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1,137,654</w:t>
            </w: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(1,014,512)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(957,775)</w:t>
            </w:r>
          </w:p>
        </w:tc>
      </w:tr>
      <w:tr>
        <w:trPr>
          <w:trHeight w:val="196"/>
        </w:trPr>
        <w:tc>
          <w:tcPr>
            <w:tcW w:w="7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374,132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180,010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422,893</w:t>
            </w:r>
          </w:p>
        </w:tc>
        <w:tc>
          <w:tcPr>
            <w:tcW w:w="18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232,540</w:t>
            </w:r>
          </w:p>
        </w:tc>
        <w:tc>
          <w:tcPr>
            <w:tcW w:w="12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-3865245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-3865245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-3076575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-3076575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-2005330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-1739265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-1464945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7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9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40" w:type="dxa"/>
            <w:vAlign w:val="bottom"/>
            <w:gridSpan w:val="2"/>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46,140</w:t>
            </w:r>
          </w:p>
        </w:tc>
        <w:tc>
          <w:tcPr>
            <w:tcW w:w="180" w:type="dxa"/>
            <w:vAlign w:val="bottom"/>
          </w:tcPr>
          <w:p>
            <w:pPr>
              <w:spacing w:after="0"/>
              <w:rPr>
                <w:sz w:val="17"/>
                <w:szCs w:val="17"/>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11,168</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7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(57,308)</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(40,052)</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7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(1,650)</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(1,650)</w:t>
            </w:r>
          </w:p>
        </w:tc>
        <w:tc>
          <w:tcPr>
            <w:tcW w:w="0" w:type="dxa"/>
            <w:vAlign w:val="bottom"/>
          </w:tcPr>
          <w:p>
            <w:pPr>
              <w:spacing w:after="0"/>
              <w:rPr>
                <w:sz w:val="1"/>
                <w:szCs w:val="1"/>
                <w:color w:val="auto"/>
              </w:rPr>
            </w:pPr>
          </w:p>
        </w:tc>
      </w:tr>
      <w:tr>
        <w:trPr>
          <w:trHeight w:val="203"/>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7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other income, net</w:t>
            </w:r>
          </w:p>
        </w:tc>
        <w:tc>
          <w:tcPr>
            <w:tcW w:w="17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40" w:type="dxa"/>
            <w:vAlign w:val="bottom"/>
            <w:gridSpan w:val="2"/>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(56,737)</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(39,282)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04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(0.52)</w:t>
            </w: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169"/>
        </w:trPr>
        <w:tc>
          <w:tcPr>
            <w:tcW w:w="4660" w:type="dxa"/>
            <w:vAlign w:val="bottom"/>
            <w:tcBorders>
              <w:top w:val="single" w:sz="8" w:color="CFF0FC"/>
            </w:tcBorders>
          </w:tcPr>
          <w:p>
            <w:pPr>
              <w:spacing w:after="0" w:line="169"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1700" w:type="dxa"/>
            <w:vAlign w:val="bottom"/>
            <w:tcBorders>
              <w:top w:val="single" w:sz="8" w:color="CFF0FC"/>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outstanding, used to compute basic and</w:t>
            </w:r>
          </w:p>
        </w:tc>
        <w:tc>
          <w:tcPr>
            <w:tcW w:w="1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109,811,461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66,341,305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line="176" w:lineRule="exact"/>
              <w:rPr>
                <w:sz w:val="20"/>
                <w:szCs w:val="20"/>
                <w:color w:val="auto"/>
              </w:rPr>
            </w:pPr>
            <w:r>
              <w:rPr>
                <w:rFonts w:ascii="Times New Roman" w:cs="Times New Roman" w:eastAsia="Times New Roman" w:hAnsi="Times New Roman"/>
                <w:sz w:val="16"/>
                <w:szCs w:val="16"/>
                <w:color w:val="auto"/>
              </w:rPr>
              <w:t>diluted net loss per share</w:t>
            </w:r>
          </w:p>
        </w:tc>
        <w:tc>
          <w:tcPr>
            <w:tcW w:w="17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-1757045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-702310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-393700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0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0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(56,737)</w:t>
            </w: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(39,282)</w:t>
            </w:r>
          </w:p>
        </w:tc>
      </w:tr>
      <w:tr>
        <w:trPr>
          <w:trHeight w:val="203"/>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(65)</w:t>
            </w:r>
          </w:p>
        </w:tc>
        <w:tc>
          <w:tcPr>
            <w:tcW w:w="4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7080" w:type="dxa"/>
            <w:vAlign w:val="bottom"/>
            <w:tcBorders>
              <w:right w:val="single" w:sz="8" w:color="CFF0FC"/>
            </w:tcBorders>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200" w:type="dxa"/>
            <w:vAlign w:val="bottom"/>
          </w:tcPr>
          <w:p>
            <w:pPr>
              <w:jc w:val="right"/>
              <w:ind w:right="107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(56,802)</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(39,327)</w:t>
            </w:r>
          </w:p>
        </w:tc>
      </w:tr>
      <w:tr>
        <w:trPr>
          <w:trHeight w:val="20"/>
        </w:trPr>
        <w:tc>
          <w:tcPr>
            <w:tcW w:w="7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-162560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4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02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78,967,888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1,137,654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(957,775)</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private placement, net of</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costs of $4,776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14,973,257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pre-funded warrants in private placement,</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of issuance costs of $8,868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private placement for</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payment of developmental milestone consideration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1,316,899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in at-the-market public</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offering, net of sales commissions of $275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1,937,623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Vesting of restricted and performance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1,193,931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(56,737)</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(56,737)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98,394,720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1,388,559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(1,014,512)</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-25400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4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0"/>
                <w:szCs w:val="10"/>
                <w:color w:val="auto"/>
              </w:rPr>
            </w:pPr>
          </w:p>
        </w:tc>
        <w:tc>
          <w:tcPr>
            <w:tcW w:w="132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left="189"/>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02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ind w:left="189"/>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40,468,141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920,609</w:t>
            </w:r>
          </w:p>
        </w:tc>
        <w:tc>
          <w:tcPr>
            <w:tcW w:w="1040" w:type="dxa"/>
            <w:vAlign w:val="bottom"/>
            <w:gridSpan w:val="2"/>
            <w:shd w:val="clear" w:color="auto" w:fill="CFF0FC"/>
          </w:tcPr>
          <w:p>
            <w:pPr>
              <w:jc w:val="right"/>
              <w:ind w:right="66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(783,450)</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public offering, net of</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costs of $8,665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35,739,810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135,331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pre-funded warrants in public offering, net</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of issuance costs of $3,366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private placement for</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payment of developmental milestone consideration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975,496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in at-the-market public</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offering, net of sales commissions of $6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247,970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3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(39,282)</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(39,282)</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77,492,959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1,117,116</w:t>
            </w:r>
          </w:p>
        </w:tc>
        <w:tc>
          <w:tcPr>
            <w:tcW w:w="1040" w:type="dxa"/>
            <w:vAlign w:val="bottom"/>
            <w:gridSpan w:val="2"/>
          </w:tcPr>
          <w:p>
            <w:pPr>
              <w:jc w:val="right"/>
              <w:ind w:right="66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(822,732)</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-162560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-162560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-162560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-162560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(56,737)</w:t>
            </w:r>
          </w:p>
        </w:tc>
        <w:tc>
          <w:tcPr>
            <w:tcW w:w="480" w:type="dxa"/>
            <w:vAlign w:val="bottom"/>
          </w:tcPr>
          <w:p>
            <w:pPr>
              <w:jc w:val="right"/>
              <w:ind w:right="35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(39,282)</w:t>
            </w: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r>
      <w:tr>
        <w:trPr>
          <w:trHeight w:val="203"/>
        </w:trPr>
        <w:tc>
          <w:tcPr>
            <w:tcW w:w="8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discount on available-for-sale securities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4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20" w:type="dxa"/>
            <w:vAlign w:val="bottom"/>
            <w:tcBorders>
              <w:left w:val="single" w:sz="8" w:color="CFF0FC"/>
            </w:tcBorders>
            <w:shd w:val="clear" w:color="auto" w:fill="CFF0FC"/>
          </w:tcPr>
          <w:p>
            <w:pPr>
              <w:spacing w:after="0"/>
              <w:rPr>
                <w:sz w:val="17"/>
                <w:szCs w:val="17"/>
                <w:color w:val="auto"/>
              </w:rPr>
            </w:pPr>
          </w:p>
        </w:tc>
      </w:tr>
      <w:tr>
        <w:trPr>
          <w:trHeight w:val="203"/>
        </w:trPr>
        <w:tc>
          <w:tcPr>
            <w:tcW w:w="8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7"/>
                <w:szCs w:val="17"/>
                <w:color w:val="auto"/>
              </w:rPr>
            </w:pPr>
          </w:p>
        </w:tc>
      </w:tr>
      <w:tr>
        <w:trPr>
          <w:trHeight w:val="203"/>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Non-cash lease expense</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Borders>
              <w:left w:val="single" w:sz="8" w:color="CFF0FC"/>
            </w:tcBorders>
            <w:shd w:val="clear" w:color="auto" w:fill="CFF0FC"/>
          </w:tcPr>
          <w:p>
            <w:pPr>
              <w:spacing w:after="0"/>
              <w:rPr>
                <w:sz w:val="17"/>
                <w:szCs w:val="17"/>
                <w:color w:val="auto"/>
              </w:rPr>
            </w:pPr>
          </w:p>
        </w:tc>
      </w:tr>
      <w:tr>
        <w:trPr>
          <w:trHeight w:val="203"/>
        </w:trPr>
        <w:tc>
          <w:tcPr>
            <w:tcW w:w="8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tcPr>
          <w:p>
            <w:pPr>
              <w:spacing w:after="0"/>
              <w:rPr>
                <w:sz w:val="17"/>
                <w:szCs w:val="17"/>
                <w:color w:val="auto"/>
              </w:rPr>
            </w:pPr>
          </w:p>
        </w:tc>
      </w:tr>
      <w:tr>
        <w:trPr>
          <w:trHeight w:val="203"/>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left w:val="single" w:sz="8" w:color="CFF0FC"/>
            </w:tcBorders>
            <w:shd w:val="clear" w:color="auto" w:fill="CFF0FC"/>
          </w:tcPr>
          <w:p>
            <w:pPr>
              <w:spacing w:after="0"/>
              <w:rPr>
                <w:sz w:val="17"/>
                <w:szCs w:val="17"/>
                <w:color w:val="auto"/>
              </w:rPr>
            </w:pPr>
          </w:p>
        </w:tc>
      </w:tr>
      <w:tr>
        <w:trPr>
          <w:trHeight w:val="203"/>
        </w:trPr>
        <w:tc>
          <w:tcPr>
            <w:tcW w:w="8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17"/>
                <w:szCs w:val="17"/>
                <w:color w:val="auto"/>
              </w:rPr>
            </w:pPr>
          </w:p>
        </w:tc>
      </w:tr>
      <w:tr>
        <w:trPr>
          <w:trHeight w:val="203"/>
        </w:trPr>
        <w:tc>
          <w:tcPr>
            <w:tcW w:w="8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 in operating lease liability</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(496)</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r>
      <w:tr>
        <w:trPr>
          <w:trHeight w:val="203"/>
        </w:trPr>
        <w:tc>
          <w:tcPr>
            <w:tcW w:w="8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(473)</w:t>
            </w:r>
          </w:p>
        </w:tc>
        <w:tc>
          <w:tcPr>
            <w:tcW w:w="4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w:t>
            </w: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(47,230)</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(31,850)</w:t>
            </w:r>
          </w:p>
        </w:tc>
      </w:tr>
      <w:tr>
        <w:trPr>
          <w:trHeight w:val="196"/>
        </w:trPr>
        <w:tc>
          <w:tcPr>
            <w:tcW w:w="8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(165)</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maturities of available-for-sale securities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128,380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38,000</w:t>
            </w:r>
          </w:p>
        </w:tc>
        <w:tc>
          <w:tcPr>
            <w:tcW w:w="120" w:type="dxa"/>
            <w:vAlign w:val="bottom"/>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(83,457)</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(65,337)</w:t>
            </w:r>
          </w:p>
        </w:tc>
      </w:tr>
      <w:tr>
        <w:trPr>
          <w:trHeight w:val="20"/>
        </w:trPr>
        <w:tc>
          <w:tcPr>
            <w:tcW w:w="80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r>
      <w:tr>
        <w:trPr>
          <w:trHeight w:val="196"/>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44,758</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(27,463)</w:t>
            </w: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r>
      <w:tr>
        <w:trPr>
          <w:trHeight w:val="189"/>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common stock and pre-funded warrants in public offering, net of underwriting discounts and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commissions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189,637</w:t>
            </w:r>
          </w:p>
        </w:tc>
        <w:tc>
          <w:tcPr>
            <w:tcW w:w="120" w:type="dxa"/>
            <w:vAlign w:val="bottom"/>
          </w:tcPr>
          <w:p>
            <w:pPr>
              <w:spacing w:after="0"/>
              <w:rPr>
                <w:sz w:val="18"/>
                <w:szCs w:val="18"/>
                <w:color w:val="auto"/>
              </w:rPr>
            </w:pPr>
          </w:p>
        </w:tc>
      </w:tr>
      <w:tr>
        <w:trPr>
          <w:trHeight w:val="205"/>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 of common stock and pre-funded warrants issuance costs in public offering</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common stock and pre-funded warrants in private placement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239,972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 of common stock and pre-funded warrants issuance costs in private placement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(12,890)</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common stock in at-the-market public offering, net of sales commissions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7"/>
                <w:szCs w:val="17"/>
                <w:color w:val="auto"/>
              </w:rPr>
            </w:pPr>
          </w:p>
        </w:tc>
      </w:tr>
      <w:tr>
        <w:trPr>
          <w:trHeight w:val="203"/>
        </w:trPr>
        <w:tc>
          <w:tcPr>
            <w:tcW w:w="8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exercises of common stock options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of principal portion of finance lease obligations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r>
      <w:tr>
        <w:trPr>
          <w:trHeight w:val="196"/>
        </w:trPr>
        <w:tc>
          <w:tcPr>
            <w:tcW w:w="80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239,027</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189,728</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236,555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130,415</w:t>
            </w:r>
          </w:p>
        </w:tc>
        <w:tc>
          <w:tcPr>
            <w:tcW w:w="120" w:type="dxa"/>
            <w:vAlign w:val="bottom"/>
          </w:tcPr>
          <w:p>
            <w:pPr>
              <w:spacing w:after="0"/>
              <w:rPr>
                <w:sz w:val="17"/>
                <w:szCs w:val="17"/>
                <w:color w:val="auto"/>
              </w:rPr>
            </w:pPr>
          </w:p>
        </w:tc>
      </w:tr>
      <w:tr>
        <w:trPr>
          <w:trHeight w:val="203"/>
        </w:trPr>
        <w:tc>
          <w:tcPr>
            <w:tcW w:w="8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61,890</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r>
      <w:tr>
        <w:trPr>
          <w:trHeight w:val="196"/>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298,445</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212,602</w:t>
            </w:r>
          </w:p>
        </w:tc>
        <w:tc>
          <w:tcPr>
            <w:tcW w:w="12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8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9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392"/>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financing and operating activities:</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tcBorders>
              <w:right w:val="single" w:sz="8" w:color="CFF0FC"/>
            </w:tcBorders>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r>
      <w:tr>
        <w:trPr>
          <w:trHeight w:val="203"/>
        </w:trPr>
        <w:tc>
          <w:tcPr>
            <w:tcW w:w="8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issued as payment for developmental milestone consideration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0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92"/>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left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-3548380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-3025140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-3025140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-1584960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-1319530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amounts reported in the condensed 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297,099</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current</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color w:val="auto"/>
              </w:rPr>
              <w:t>Total cash, cash equivalents, and restricted cash, as reported in</w:t>
            </w:r>
          </w:p>
        </w:tc>
        <w:tc>
          <w:tcPr>
            <w:tcW w:w="880" w:type="dxa"/>
            <w:vAlign w:val="bottom"/>
            <w:gridSpan w:val="2"/>
            <w:vMerge w:val="restart"/>
          </w:tcPr>
          <w:p>
            <w:pPr>
              <w:jc w:val="right"/>
              <w:ind w:right="72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298,445</w:t>
            </w: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212,602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80"/>
              <w:spacing w:after="0" w:line="176" w:lineRule="exact"/>
              <w:rPr>
                <w:sz w:val="20"/>
                <w:szCs w:val="20"/>
                <w:color w:val="auto"/>
              </w:rPr>
            </w:pPr>
            <w:r>
              <w:rPr>
                <w:rFonts w:ascii="Times New Roman" w:cs="Times New Roman" w:eastAsia="Times New Roman" w:hAnsi="Times New Roman"/>
                <w:sz w:val="16"/>
                <w:szCs w:val="16"/>
                <w:color w:val="auto"/>
              </w:rPr>
              <w:t>the condensed consolidated statements of cash flows</w:t>
            </w:r>
          </w:p>
        </w:tc>
        <w:tc>
          <w:tcPr>
            <w:tcW w:w="88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-264795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and where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Solid Biosciences Inc. (the “Company”) is a life sciences company focused on advancing a portfolio of current and future gene therapy candidates (collectively “Candidates”), including SGT-003 for the treatment of Duchenne muscular dystrophy (“Duchenne”), SGT-212 for the treatment of Friedreich’s ataxia (“FA”), SGT-501 for the treatment of catecholaminergic polymorphic ventricular tachycardia, SGT-601 for the treatment of TNNT2-mediated dilated cardiomyopathy, and additional assets for the treatment of genetic cardiac and neuromuscular diseases, at different stages of development with varying levels of investment. The Company is advancing its diverse pipeline across rare neuromuscular and cardiac diseases, bringing together experts in science, technology, disease management and care. Patient-focused and founded by those directly impacted by Duchenne, the Company’s mission is to improve the daily lives of patients living with these devastating diseases.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Based upon its current operating plan, the Company expects that its cash, cash equivalents and available-for-sale securities of $380.7 million, excluding restricted cash of $1.3 million, as of March 31, 2026, will be sufficient to fund its operating expenses and capital expenditure requirements for at least twelve months from the date of issuance of these condensed consolidated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Through March 31, 2026, the Company has funded its operations primarily with the proceeds from the sale of redeemable preferred units and member units prior to its initial public offering, as well as the sale of common stock and pre-funded warrants to purchase shares of its common stock in private placements (including the March 2026 Private Placement (as defined below)), the sale of common stock in its initial public offering, follow-on public offerings in March 2021 and February 2025 and under its at-the-market sales agreement.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generate operating losses for the foreseeable future and to finance its future cash needs through a combination of equity offerings, debt financings, collaborations, strategic partnerships and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accounting principles generally accepted in the United States of America (“GAAP”) along with the rules and regulations of the Securities and Exchange Commission for interim financial information and include the accounts of the Company and its wholly owned subsidiaries. All intercompany balances and transactions have been eliminated in consolidation. The year-end condensed consolidated balance sheet data presented for comparative purposes was derived from the Company’s audited financial statements but does not include all disclosures required by GAAP to constitute a complete set of financial statements. These condensed consolidated financial statements have been prepared on the same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ind w:right="320"/>
        <w:spacing w:after="0" w:line="266" w:lineRule="auto"/>
        <w:rPr>
          <w:sz w:val="20"/>
          <w:szCs w:val="20"/>
          <w:color w:val="auto"/>
        </w:rPr>
      </w:pPr>
      <w:r>
        <w:rPr>
          <w:rFonts w:ascii="Times New Roman" w:cs="Times New Roman" w:eastAsia="Times New Roman" w:hAnsi="Times New Roman"/>
          <w:sz w:val="18"/>
          <w:szCs w:val="18"/>
          <w:color w:val="auto"/>
        </w:rPr>
        <w:t>basis as the Company’s annual consolidated financial statements and, in the opinion of management, reflect all adjustments, which include only normal recurring adjustments necessary for a fair statement of the Company’s financial position at March 31, 2026 and its results of operations, changes in stockholders’ equity, and cash flows for the interim periods ended March 31, 2026 and 2025.</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interim financial statements should be read in conjunction with the Company’s audited consolidated financial statements and notes thereto included in the Company’s Annual Report on Form 10-K for the year ended December 31, 2025. The results of operations for the three months ended March 31, 2026 are not necessarily indicative of the operating results to be expected for the year ending December 31, 2026, for any other interim period, or for any other future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 and Estimates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judgments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estimates related to the recognition of research and development expenses, equity-based compensation, and derivative liabilities. Estimates are periodically reviewed in light of changes in circumstances, facts and experience. Changes in estimates are recorded in the period in which they become known. Actual results could differ materially from the Company’s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There have been no changes to the significant accounting policies disclosed in the Company's most recent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80" w:lineRule="exact"/>
        <w:rPr>
          <w:sz w:val="20"/>
          <w:szCs w:val="20"/>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No.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“Income Statement - Reporting Comprehensive Income - Expense Disaggregation Disclosures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Topic 220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of adopting this ASU on its consolidated financial statements and disclosures.</w:t>
      </w:r>
    </w:p>
    <w:p>
      <w:pPr>
        <w:spacing w:after="0" w:line="9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in this ASU are effective for interim reporting periods within annual reporting periods beginning after December 15, 2027, with early adoption permitted. The Company is currently evaluating the effect of adopting this ASU on its consolidated financial statements and disclosures</w:t>
      </w:r>
      <w:r>
        <w:rPr>
          <w:rFonts w:ascii="Arial" w:cs="Arial" w:eastAsia="Arial" w:hAnsi="Arial"/>
          <w:sz w:val="18"/>
          <w:szCs w:val="18"/>
          <w:color w:val="00172E"/>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FA212 Asset Acquisition</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On September 19, 2024, the Company entered into an asset purchase agreement with FA212 LLC (“FA212”) for the purchase of certain intellectual property, including patents and assigned licenses related to a preclinical drug candidate, which the Company now refers to as SGT-212, assigned manufacturing contracts as well as research and development materials such as manufactured materials and samples.</w:t>
      </w:r>
    </w:p>
    <w:p>
      <w:pPr>
        <w:spacing w:after="0" w:line="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paid FA212 an upfront payment of $1.0 million in the third quarter of 2024. Additionally, the Company agreed to pay FA212 development milestone payments of up to $34.0 million, cumulative sales milestone payments of up to $21.0 million, and tiered royalties on net sales in the low-single-digits. The Company also assumed from FA212 contingent development milestone payments of up to $4.2 million, regulatory milestone payments of up to $13.0 million, cumulative sales milestone payments of up to $27.5 million, and tiered royalties on worldwide net sales in the mid-single digits payable to the University of Pennsylvania.</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ind w:right="700"/>
        <w:spacing w:after="0" w:line="282" w:lineRule="auto"/>
        <w:rPr>
          <w:sz w:val="20"/>
          <w:szCs w:val="20"/>
          <w:color w:val="auto"/>
        </w:rPr>
      </w:pPr>
      <w:r>
        <w:rPr>
          <w:rFonts w:ascii="Times New Roman" w:cs="Times New Roman" w:eastAsia="Times New Roman" w:hAnsi="Times New Roman"/>
          <w:sz w:val="18"/>
          <w:szCs w:val="18"/>
          <w:color w:val="auto"/>
        </w:rPr>
        <w:t>Certain development milestone payments to FA212 are payable in either cash, equity, or a combination of both, at the Company's discretion. Such contingent payments were determined to be derivative liabilities and were initially recorded at their fair value of $3.4 million.</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FA212 agreement represented an asset acquisition of in-process research and development assets with no alternative future use and recognized the aggregate acquisition cost of $5.1 million as research and development expense in the third quarter of 2024, which included the upfront payment, initial recognition of the derivative liability, and $0.7 million in transaction costs.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submitted an investigational new drug application (“IND”) for SGT-212 for the treatment of FA to the U.S. Food and Drug Administration (“FDA”), which was cleared in December 2024. Upon clearance of the IND, the first development milestone of $5.0 million became payable to FA212. On February 28, 2025, the Company made the first development milestone payment in the form of 975,496 shares of its common stock. Following the dosing of the first participant in the Phase 1b FALCON clinical trial of SGT-212 in January 2026, a $7.5 million development milestone became payable to FA212 LLC. On January 15, 2026, the Company made the second milestone payment in the form of 1,316,899 shares of its common stock. The derivative liability for the final contingent payment was recorded at a fair value of $3.4 million as of March 31, 2026. The derivative liabilities for contingent payments as of December 31, 2025 were recorded at an aggregate fair value of $9.2 million. See Note 4 -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Out-License Agreements</w:t>
      </w:r>
    </w:p>
    <w:p>
      <w:pPr>
        <w:spacing w:after="0" w:line="94" w:lineRule="exact"/>
        <w:rPr>
          <w:sz w:val="20"/>
          <w:szCs w:val="20"/>
          <w:color w:val="auto"/>
        </w:rPr>
      </w:pPr>
    </w:p>
    <w:p>
      <w:pPr>
        <w:ind w:right="100"/>
        <w:spacing w:after="0" w:line="226" w:lineRule="exact"/>
        <w:rPr>
          <w:sz w:val="20"/>
          <w:szCs w:val="20"/>
          <w:color w:val="auto"/>
        </w:rPr>
      </w:pPr>
      <w:r>
        <w:rPr>
          <w:rFonts w:ascii="Times New Roman" w:cs="Times New Roman" w:eastAsia="Times New Roman" w:hAnsi="Times New Roman"/>
          <w:sz w:val="18"/>
          <w:szCs w:val="18"/>
          <w:color w:val="auto"/>
        </w:rPr>
        <w:t>From time to time, the Company enters into non-exclusive license and collaboration agreements for the out-licensing of POLARIS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its proprietary, rationally designed capsid technology used in SGT-003, to both companies and academic institutions pursuing treatments for rare diseases. These arrangements may entitle the Company to receive non-refundable upfront payments, contingent obligations for potential developmental, regulatory, and commercial performance milestone payments, cost reimbursement arrangements, product supply and royalty payments as a percentage of worldwide license product sales. At March 31, 2026, potential future milestone payments to which the Company may be entitled to under these agreements totaled an aggregate of $97.1 million. None of these milestones were assessed to be probable as of March 31, 2026.</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124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Money market funds</w:t>
            </w:r>
          </w:p>
        </w:tc>
        <w:tc>
          <w:tcPr>
            <w:tcW w:w="1240" w:type="dxa"/>
            <w:vAlign w:val="bottom"/>
            <w:shd w:val="clear" w:color="auto" w:fill="CFF0FC"/>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213,724</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213,724</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Treasury bills</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74,212</w:t>
            </w:r>
          </w:p>
        </w:tc>
        <w:tc>
          <w:tcPr>
            <w:tcW w:w="3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74,212</w:t>
            </w:r>
          </w:p>
        </w:tc>
        <w:tc>
          <w:tcPr>
            <w:tcW w:w="100" w:type="dxa"/>
            <w:vAlign w:val="bottom"/>
          </w:tcPr>
          <w:p>
            <w:pPr>
              <w:spacing w:after="0"/>
              <w:rPr>
                <w:sz w:val="17"/>
                <w:szCs w:val="17"/>
                <w:color w:val="auto"/>
              </w:rPr>
            </w:pPr>
          </w:p>
        </w:tc>
      </w:tr>
      <w:tr>
        <w:trPr>
          <w:trHeight w:val="196"/>
        </w:trPr>
        <w:tc>
          <w:tcPr>
            <w:tcW w:w="3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cash equivalents</w:t>
            </w:r>
          </w:p>
        </w:tc>
        <w:tc>
          <w:tcPr>
            <w:tcW w:w="12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287,936</w:t>
            </w:r>
          </w:p>
        </w:tc>
        <w:tc>
          <w:tcPr>
            <w:tcW w:w="3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287,936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Available-for-sale securities (Note 5):</w:t>
            </w: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Treasury bills</w:t>
            </w:r>
          </w:p>
        </w:tc>
        <w:tc>
          <w:tcPr>
            <w:tcW w:w="1240" w:type="dxa"/>
            <w:vAlign w:val="bottom"/>
            <w:shd w:val="clear" w:color="auto" w:fill="CFF0FC"/>
          </w:tcPr>
          <w:p>
            <w:pPr>
              <w:spacing w:after="0"/>
              <w:rPr>
                <w:sz w:val="17"/>
                <w:szCs w:val="17"/>
                <w:color w:val="auto"/>
              </w:rPr>
            </w:pP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78,562</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78,562</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Government bonds</w:t>
            </w:r>
          </w:p>
        </w:tc>
        <w:tc>
          <w:tcPr>
            <w:tcW w:w="1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3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100" w:type="dxa"/>
            <w:vAlign w:val="bottom"/>
          </w:tcPr>
          <w:p>
            <w:pPr>
              <w:spacing w:after="0"/>
              <w:rPr>
                <w:sz w:val="17"/>
                <w:szCs w:val="17"/>
                <w:color w:val="auto"/>
              </w:rPr>
            </w:pPr>
          </w:p>
        </w:tc>
      </w:tr>
      <w:tr>
        <w:trPr>
          <w:trHeight w:val="196"/>
        </w:trPr>
        <w:tc>
          <w:tcPr>
            <w:tcW w:w="3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83,581</w:t>
            </w:r>
          </w:p>
        </w:tc>
        <w:tc>
          <w:tcPr>
            <w:tcW w:w="3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financial assets</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371,517</w:t>
            </w:r>
          </w:p>
        </w:tc>
        <w:tc>
          <w:tcPr>
            <w:tcW w:w="1400" w:type="dxa"/>
            <w:vAlign w:val="bottom"/>
            <w:gridSpan w:val="2"/>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371,517</w:t>
            </w:r>
          </w:p>
        </w:tc>
        <w:tc>
          <w:tcPr>
            <w:tcW w:w="1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8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Derivative liabilities (Note 2):</w:t>
            </w:r>
          </w:p>
        </w:tc>
        <w:tc>
          <w:tcPr>
            <w:tcW w:w="1240" w:type="dxa"/>
            <w:vAlign w:val="bottom"/>
            <w:shd w:val="clear" w:color="auto" w:fill="CFF0FC"/>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shd w:val="clear" w:color="auto" w:fill="CFF0FC"/>
          </w:tcPr>
          <w:p>
            <w:pPr>
              <w:spacing w:after="0"/>
              <w:rPr>
                <w:sz w:val="17"/>
                <w:szCs w:val="17"/>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86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-1242695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-1242695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-1242695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-710565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-710565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-710565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-162560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Money market funds</w:t>
            </w:r>
          </w:p>
        </w:tc>
        <w:tc>
          <w:tcPr>
            <w:tcW w:w="1440" w:type="dxa"/>
            <w:vAlign w:val="bottom"/>
            <w:gridSpan w:val="2"/>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100" w:type="dxa"/>
            <w:vAlign w:val="bottom"/>
            <w:shd w:val="clear" w:color="auto" w:fill="CFF0FC"/>
          </w:tcPr>
          <w:p>
            <w:pPr>
              <w:spacing w:after="0"/>
              <w:rPr>
                <w:sz w:val="17"/>
                <w:szCs w:val="17"/>
                <w:color w:val="auto"/>
              </w:rPr>
            </w:pPr>
          </w:p>
        </w:tc>
      </w:tr>
      <w:tr>
        <w:trPr>
          <w:trHeight w:val="196"/>
        </w:trPr>
        <w:tc>
          <w:tcPr>
            <w:tcW w:w="36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Total cash equivalents</w:t>
            </w:r>
          </w:p>
        </w:tc>
        <w:tc>
          <w:tcPr>
            <w:tcW w:w="220" w:type="dxa"/>
            <w:vAlign w:val="bottom"/>
            <w:tcBorders>
              <w:top w:val="single" w:sz="8" w:color="CFF0FC"/>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300" w:type="dxa"/>
            <w:vAlign w:val="bottom"/>
            <w:tcBorders>
              <w:top w:val="single" w:sz="8" w:color="CFF0FC"/>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51,333</w:t>
            </w:r>
          </w:p>
        </w:tc>
        <w:tc>
          <w:tcPr>
            <w:tcW w:w="100" w:type="dxa"/>
            <w:vAlign w:val="bottom"/>
            <w:tcBorders>
              <w:top w:val="single" w:sz="8" w:color="CFF0FC"/>
            </w:tcBorders>
          </w:tcPr>
          <w:p>
            <w:pPr>
              <w:spacing w:after="0"/>
              <w:rPr>
                <w:sz w:val="17"/>
                <w:szCs w:val="17"/>
                <w:color w:val="auto"/>
              </w:rPr>
            </w:pPr>
          </w:p>
        </w:tc>
      </w:tr>
      <w:tr>
        <w:trPr>
          <w:trHeight w:val="196"/>
        </w:trPr>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Available-for-sale securities (Note 5):</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3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Treasury bills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72,932</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72,932</w:t>
            </w:r>
          </w:p>
        </w:tc>
        <w:tc>
          <w:tcPr>
            <w:tcW w:w="100" w:type="dxa"/>
            <w:vAlign w:val="bottom"/>
          </w:tcPr>
          <w:p>
            <w:pPr>
              <w:spacing w:after="0"/>
              <w:rPr>
                <w:sz w:val="17"/>
                <w:szCs w:val="17"/>
                <w:color w:val="auto"/>
              </w:rPr>
            </w:pPr>
          </w:p>
        </w:tc>
      </w:tr>
      <w:tr>
        <w:trPr>
          <w:trHeight w:val="203"/>
        </w:trPr>
        <w:tc>
          <w:tcPr>
            <w:tcW w:w="3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Government bonds</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3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127,950</w:t>
            </w:r>
          </w:p>
        </w:tc>
        <w:tc>
          <w:tcPr>
            <w:tcW w:w="3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100" w:type="dxa"/>
            <w:vAlign w:val="bottom"/>
          </w:tcPr>
          <w:p>
            <w:pPr>
              <w:spacing w:after="0"/>
              <w:rPr>
                <w:sz w:val="17"/>
                <w:szCs w:val="17"/>
                <w:color w:val="auto"/>
              </w:rPr>
            </w:pPr>
          </w:p>
        </w:tc>
      </w:tr>
      <w:tr>
        <w:trPr>
          <w:trHeight w:val="236"/>
        </w:trPr>
        <w:tc>
          <w:tcPr>
            <w:tcW w:w="3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financial assets</w:t>
            </w:r>
          </w:p>
        </w:tc>
        <w:tc>
          <w:tcPr>
            <w:tcW w:w="1440" w:type="dxa"/>
            <w:vAlign w:val="bottom"/>
            <w:gridSpan w:val="2"/>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179,283</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179,283</w:t>
            </w:r>
          </w:p>
        </w:tc>
        <w:tc>
          <w:tcPr>
            <w:tcW w:w="100" w:type="dxa"/>
            <w:vAlign w:val="bottom"/>
            <w:shd w:val="clear" w:color="auto" w:fill="CFF0FC"/>
          </w:tcPr>
          <w:p>
            <w:pPr>
              <w:spacing w:after="0"/>
              <w:rPr>
                <w:sz w:val="20"/>
                <w:szCs w:val="20"/>
                <w:color w:val="auto"/>
              </w:rPr>
            </w:pPr>
          </w:p>
        </w:tc>
      </w:tr>
      <w:tr>
        <w:trPr>
          <w:trHeight w:val="183"/>
        </w:trPr>
        <w:tc>
          <w:tcPr>
            <w:tcW w:w="3600" w:type="dxa"/>
            <w:vAlign w:val="bottom"/>
            <w:tcBorders>
              <w:top w:val="single" w:sz="8" w:color="CFF0FC"/>
            </w:tcBorders>
            <w:shd w:val="clear" w:color="auto" w:fill="CFF0FC"/>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Financial liabilities</w:t>
            </w:r>
          </w:p>
        </w:tc>
        <w:tc>
          <w:tcPr>
            <w:tcW w:w="220" w:type="dxa"/>
            <w:vAlign w:val="bottom"/>
            <w:tcBorders>
              <w:top w:val="single" w:sz="8" w:color="CFF0FC"/>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3"/>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liabilities (Note 2):</w:t>
            </w:r>
          </w:p>
        </w:tc>
        <w:tc>
          <w:tcPr>
            <w:tcW w:w="220" w:type="dxa"/>
            <w:vAlign w:val="bottom"/>
          </w:tcPr>
          <w:p>
            <w:pPr>
              <w:spacing w:after="0"/>
              <w:rPr>
                <w:sz w:val="17"/>
                <w:szCs w:val="17"/>
                <w:color w:val="auto"/>
              </w:rPr>
            </w:pPr>
          </w:p>
        </w:tc>
        <w:tc>
          <w:tcPr>
            <w:tcW w:w="122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7"/>
                <w:szCs w:val="17"/>
                <w:color w:val="auto"/>
              </w:rPr>
            </w:pP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96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0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100" w:type="dxa"/>
            <w:vAlign w:val="bottom"/>
            <w:shd w:val="clear" w:color="auto" w:fill="CFF0FC"/>
          </w:tcPr>
          <w:p>
            <w:pPr>
              <w:spacing w:after="0"/>
              <w:rPr>
                <w:sz w:val="18"/>
                <w:szCs w:val="18"/>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-1250950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-1250950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-1250950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-719455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-719455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-719455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-445135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-427990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-445135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-427990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-427990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values of the Company’s cash equivalents and available-for-sale securities were determined using Level 2 inputs.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by using a Monte Carlo simulation forecasting the timing and likelihood of certain development milestone events being achieved and discounting the probability of adjusted payments using an appropriate discount rate based on market interest rates. The main assumptions when determining the fair value of the derivative liabilities are the timing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unobservable inputs used in valuing the developmental milestone derivative liabilities at each measurement date are as follows: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80" w:type="dxa"/>
            <w:vAlign w:val="bottom"/>
            <w:vMerge w:val="restart"/>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180" w:type="dxa"/>
            <w:vAlign w:val="bottom"/>
          </w:tcPr>
          <w:p>
            <w:pPr>
              <w:spacing w:after="0"/>
              <w:rPr>
                <w:sz w:val="12"/>
                <w:szCs w:val="12"/>
                <w:color w:val="auto"/>
              </w:rPr>
            </w:pPr>
          </w:p>
        </w:tc>
        <w:tc>
          <w:tcPr>
            <w:tcW w:w="1720" w:type="dxa"/>
            <w:vAlign w:val="bottom"/>
            <w:tcBorders>
              <w:bottom w:val="single" w:sz="8" w:color="auto"/>
            </w:tcBorders>
          </w:tcPr>
          <w:p>
            <w:pPr>
              <w:jc w:val="center"/>
              <w:ind w:left="484"/>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Probability of achieving certain development milestones</w:t>
            </w: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900" w:type="dxa"/>
            <w:vAlign w:val="bottom"/>
            <w:gridSpan w:val="2"/>
            <w:shd w:val="clear" w:color="auto" w:fill="CFF0FC"/>
          </w:tcPr>
          <w:p>
            <w:pPr>
              <w:jc w:val="center"/>
              <w:ind w:left="659"/>
              <w:spacing w:after="0"/>
              <w:rPr>
                <w:sz w:val="20"/>
                <w:szCs w:val="20"/>
                <w:color w:val="auto"/>
              </w:rPr>
            </w:pPr>
            <w:r>
              <w:rPr>
                <w:rFonts w:ascii="Times New Roman" w:cs="Times New Roman" w:eastAsia="Times New Roman" w:hAnsi="Times New Roman"/>
                <w:sz w:val="16"/>
                <w:szCs w:val="16"/>
                <w:color w:val="auto"/>
                <w:w w:val="99"/>
              </w:rPr>
              <w:t>40.0% - 100.0%</w:t>
            </w:r>
          </w:p>
        </w:tc>
        <w:tc>
          <w:tcPr>
            <w:tcW w:w="3040" w:type="dxa"/>
            <w:vAlign w:val="bottom"/>
            <w:gridSpan w:val="3"/>
            <w:shd w:val="clear" w:color="auto" w:fill="CFF0FC"/>
          </w:tcPr>
          <w:p>
            <w:pPr>
              <w:jc w:val="center"/>
              <w:ind w:left="661"/>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Volatility</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19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color w:val="auto"/>
              </w:rPr>
              <w:t>98.0%</w:t>
            </w:r>
          </w:p>
        </w:tc>
        <w:tc>
          <w:tcPr>
            <w:tcW w:w="3040" w:type="dxa"/>
            <w:vAlign w:val="bottom"/>
            <w:gridSpan w:val="3"/>
          </w:tcPr>
          <w:p>
            <w:pPr>
              <w:jc w:val="center"/>
              <w:ind w:left="661"/>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3.8%</w:t>
            </w:r>
          </w:p>
        </w:tc>
        <w:tc>
          <w:tcPr>
            <w:tcW w:w="1900" w:type="dxa"/>
            <w:vAlign w:val="bottom"/>
            <w:gridSpan w:val="2"/>
            <w:shd w:val="clear" w:color="auto" w:fill="CFF0FC"/>
          </w:tcPr>
          <w:p>
            <w:pPr>
              <w:jc w:val="center"/>
              <w:ind w:left="659"/>
              <w:spacing w:after="0"/>
              <w:rPr>
                <w:sz w:val="20"/>
                <w:szCs w:val="20"/>
                <w:color w:val="auto"/>
              </w:rPr>
            </w:pPr>
            <w:r>
              <w:rPr>
                <w:rFonts w:ascii="Times New Roman" w:cs="Times New Roman" w:eastAsia="Times New Roman" w:hAnsi="Times New Roman"/>
                <w:sz w:val="16"/>
                <w:szCs w:val="16"/>
                <w:color w:val="auto"/>
                <w:w w:val="99"/>
              </w:rPr>
              <w:t>3.5% - 3.7%</w:t>
            </w:r>
          </w:p>
        </w:tc>
        <w:tc>
          <w:tcPr>
            <w:tcW w:w="3040" w:type="dxa"/>
            <w:vAlign w:val="bottom"/>
            <w:gridSpan w:val="3"/>
            <w:shd w:val="clear" w:color="auto" w:fill="CFF0FC"/>
          </w:tcPr>
          <w:p>
            <w:pPr>
              <w:jc w:val="center"/>
              <w:ind w:left="661"/>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Timing of achieving certain development milestones</w:t>
            </w: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 years</w:t>
            </w:r>
          </w:p>
        </w:tc>
        <w:tc>
          <w:tcPr>
            <w:tcW w:w="180" w:type="dxa"/>
            <w:vAlign w:val="bottom"/>
          </w:tcPr>
          <w:p>
            <w:pPr>
              <w:spacing w:after="0"/>
              <w:rPr>
                <w:sz w:val="18"/>
                <w:szCs w:val="18"/>
                <w:color w:val="auto"/>
              </w:rPr>
            </w:pPr>
          </w:p>
        </w:tc>
        <w:tc>
          <w:tcPr>
            <w:tcW w:w="1720" w:type="dxa"/>
            <w:vAlign w:val="bottom"/>
          </w:tcPr>
          <w:p>
            <w:pPr>
              <w:jc w:val="center"/>
              <w:ind w:left="484"/>
              <w:spacing w:after="0"/>
              <w:rPr>
                <w:sz w:val="20"/>
                <w:szCs w:val="20"/>
                <w:color w:val="auto"/>
              </w:rPr>
            </w:pPr>
            <w:r>
              <w:rPr>
                <w:rFonts w:ascii="Times New Roman" w:cs="Times New Roman" w:eastAsia="Times New Roman" w:hAnsi="Times New Roman"/>
                <w:sz w:val="16"/>
                <w:szCs w:val="16"/>
                <w:color w:val="auto"/>
              </w:rPr>
              <w:t>0.1 - 2.8 years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 years</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activity associated with the Company’s derivative liabilities measured using Level 3 inputs:</w:t>
      </w:r>
    </w:p>
    <w:p>
      <w:pPr>
        <w:sectPr>
          <w:pgSz w:w="11900" w:h="16838" w:orient="portrait"/>
          <w:cols w:equalWidth="0" w:num="1">
            <w:col w:w="11240"/>
          </w:cols>
          <w:pgMar w:left="320" w:top="10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of derivative liabilities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p>
      <w:pPr>
        <w:spacing w:after="0" w:line="19" w:lineRule="exact"/>
        <w:rPr>
          <w:sz w:val="20"/>
          <w:szCs w:val="20"/>
          <w:color w:val="auto"/>
        </w:rPr>
      </w:pPr>
    </w:p>
    <w:p>
      <w:pPr>
        <w:ind w:right="3200" w:firstLine="163"/>
        <w:spacing w:after="0" w:line="305" w:lineRule="auto"/>
        <w:rPr>
          <w:sz w:val="20"/>
          <w:szCs w:val="20"/>
          <w:color w:val="auto"/>
        </w:rPr>
      </w:pPr>
      <w:r>
        <w:rPr>
          <w:rFonts w:ascii="Times New Roman" w:cs="Times New Roman" w:eastAsia="Times New Roman" w:hAnsi="Times New Roman"/>
          <w:sz w:val="16"/>
          <w:szCs w:val="16"/>
          <w:color w:val="auto"/>
        </w:rPr>
        <w:t>Common stock issued as payment for developmental milestone consideration Fair value of derivative liabilities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Developmental Milestone</w:t>
            </w:r>
          </w:p>
        </w:tc>
      </w:t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82"/>
        </w:trPr>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9,200</w:t>
            </w:r>
          </w:p>
        </w:tc>
        <w:tc>
          <w:tcPr>
            <w:tcW w:w="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02"/>
        </w:trPr>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ectPr>
          <w:pgSz w:w="11900" w:h="16838" w:orient="portrait"/>
          <w:cols w:equalWidth="0" w:num="2">
            <w:col w:w="8380" w:space="720"/>
            <w:col w:w="2140"/>
          </w:cols>
          <w:pgMar w:left="320" w:top="1060"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a $1.7 million loss for the change in fair value of derivative liabilities during the three months ended March 31, 2026 and 2025.</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It is the Company's policy to recognize transfers between levels of the fair value hierarchy, if any, at the end of the reporting period. During the three months ended March 31, 2026, and the year ended December 31, 2025, there were no transfers between Level 1, Level 2, and Level 3.</w:t>
      </w:r>
    </w:p>
    <w:p>
      <w:pPr>
        <w:spacing w:after="0" w:line="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Company's accounts payable, accrued expenses, and other current liabilities approximated their estimated fair values due to the short-term nature of these financial instruments.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5. Available-for-Sale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available-for-sale securities is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940" w:type="dxa"/>
            <w:vAlign w:val="bottom"/>
          </w:tcPr>
          <w:p>
            <w:pPr>
              <w:jc w:val="center"/>
              <w:ind w:left="14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520" w:type="dxa"/>
            <w:vAlign w:val="bottom"/>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 maturing in one year or less</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78,572</w:t>
            </w:r>
          </w:p>
        </w:tc>
        <w:tc>
          <w:tcPr>
            <w:tcW w:w="1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Government bonds maturing in one year or less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3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83,594</w:t>
            </w:r>
          </w:p>
        </w:tc>
        <w:tc>
          <w:tcPr>
            <w:tcW w:w="24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940" w:type="dxa"/>
            <w:vAlign w:val="bottom"/>
          </w:tcPr>
          <w:p>
            <w:pPr>
              <w:jc w:val="center"/>
              <w:ind w:left="10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center"/>
              <w:ind w:left="1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52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bills maturing in one year or less</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72,902</w:t>
            </w:r>
          </w:p>
        </w:tc>
        <w:tc>
          <w:tcPr>
            <w:tcW w:w="11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30</w:t>
            </w:r>
          </w:p>
        </w:tc>
        <w:tc>
          <w:tcPr>
            <w:tcW w:w="1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Government bonds maturing in one year or less</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54,996</w:t>
            </w: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22</w:t>
            </w: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available-for sale securities</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127,898</w:t>
            </w:r>
          </w:p>
        </w:tc>
        <w:tc>
          <w:tcPr>
            <w:tcW w:w="11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52</w:t>
            </w:r>
          </w:p>
        </w:tc>
        <w:tc>
          <w:tcPr>
            <w:tcW w:w="1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-993775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-976630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-993775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-976630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-993775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-976630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maturity of the Company’s available-for-sale securities was approximately 0.4 years and 0.6 years as of March 31, 2026, and December 31,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research and development expenses</w:t>
            </w:r>
          </w:p>
        </w:tc>
        <w:tc>
          <w:tcPr>
            <w:tcW w:w="35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12,494</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13,969</w:t>
            </w: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Prepaid other and other current assets</w:t>
            </w:r>
          </w:p>
        </w:tc>
        <w:tc>
          <w:tcPr>
            <w:tcW w:w="24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5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15,470</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16,384</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10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108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12,357</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other and other current liabilities</w:t>
            </w:r>
          </w:p>
        </w:tc>
        <w:tc>
          <w:tcPr>
            <w:tcW w:w="10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19,182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18,945</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19, 2025, the Company issued and sold 35,739,810 shares of its common stock at a price per share of $4.03 and, to certain investors in lieu of shares of common stock, pre-funded warrants to purchase 13,888,340 shares of common stock at a price of $4.029 per pre-funded warrant (the “February 2025 Offering”). The Company received approximately $188.0 million of net proceeds from the February 2025 Offering after deducting underwriting discounts and commissions and offering costs.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9, 2026, the Company issued and sold 14,973,257 shares of its common stock at a price of $5.61 per share, and, to certain investors in lieu of shares of common stock, pre-funded warrants to purchase 27,807,482 shares of its common stock at a price of $5.609 per pre-funded warrant (the “March 2026 Private Placement”). The Company received approximately $226.3 million of aggregate net proceeds from the March 2026 Private Placement after deducting offering costs.</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determined the pre-funded warrants met the criteria for equity classification. No warrants were exercised during the three months ended March 31,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classified equity-based compensation expense in its condensed consolidated statements of operations as follows:</w:t>
      </w:r>
    </w:p>
    <w:p>
      <w:pPr>
        <w:spacing w:after="0" w:line="21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wp:posOffset>
            </wp:positionV>
            <wp:extent cx="25374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6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17"/>
                <w:szCs w:val="17"/>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100" w:type="dxa"/>
            <w:vAlign w:val="bottom"/>
            <w:shd w:val="clear" w:color="auto" w:fill="CFF0FC"/>
          </w:tcPr>
          <w:p>
            <w:pPr>
              <w:spacing w:after="0"/>
              <w:rPr>
                <w:sz w:val="18"/>
                <w:szCs w:val="18"/>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March 31, 2026, the Company’s approved equity incentive plans include: the 2018 Omnibus Incentive Plan (the “2018 Plan”); Amended and Restated 2020 Equity Incentive Plan, as amended (the “2020 Plan”); the Amended and Restated 2021 Employee Stock Purchase Plan; and the 2024 Inducement Stock Incentive Plan (the “2024 Plan”). These plans are administered by the Board of Directors (the “Board”) and permit the granting of stock options, stock appreciation rights, restricted stock, restricted stock units (the “RSUs”), performance awards, and other stock-based or cash-based awards. Upon the adoption of the 2020 Plan, the Company no longer grants new equity awards under its 2018 Plan. Service based awards to employees generally vest over a four-year period with 25% of such awards vesting following twelve months of continued employment or service. The remaining awards vest in either monthly or yearly installments over the following three years. Stock options granted under the Company’s equity incentive plans expire ten years from the date of grant.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2020 Equity Incentive Plan</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On June 12, 2025 and June 11, 2024, the Company's stockholders approved amendments to the 2020 Plan to increase the number of shares of common stock reserved for issuance under the plan by 9,000,000 shares and 2,000,000 shares, respectively. As of March 31, 2026, there were 5,272,653 stock options outstanding, 4,426,590 RSUs outstanding, 1,555,642 performance stock units outstanding, and 9,412,791 shares remained available for future issuance under the 2020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Inducement Stock Incentive Plan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2024, the Board approved the 2024 Plan, which provides for the reservation of 1,000,000 shares of common stock for equity granted as an inducement material to the individual’s entering into employment with the Company and in accordance with the requirements of Nasdaq Stock Market Rule 5635(c)(4). As of March 31, 2026, there were 100,000 stock options outstanding, 801,123 RSUs outstanding, and 10,147 shares remained available for future issuance under the 2024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with respect to stock options for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3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January 1, 2026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4,378,145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1,760,362</w:t>
            </w:r>
          </w:p>
        </w:tc>
        <w:tc>
          <w:tcPr>
            <w:tcW w:w="22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(5,122)</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Expired</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Forfeitures</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(3,633)</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6,129,390</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3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and expected to vest at March 31, 2026</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6,129,390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March 31, 2026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2,000,461</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-470535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-470535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-179705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-161925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-179705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-161925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all stock options granted during each period presented are as follows:</w:t>
      </w:r>
    </w:p>
    <w:p>
      <w:pPr>
        <w:spacing w:after="0" w:line="32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9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tcPr>
          <w:p>
            <w:pPr>
              <w:spacing w:after="0"/>
              <w:rPr>
                <w:sz w:val="17"/>
                <w:szCs w:val="17"/>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price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$6.60</w:t>
            </w:r>
          </w:p>
        </w:tc>
        <w:tc>
          <w:tcPr>
            <w:tcW w:w="208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$4.10</w:t>
            </w: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96.6% -97.4%</w:t>
            </w:r>
          </w:p>
        </w:tc>
        <w:tc>
          <w:tcPr>
            <w:tcW w:w="20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112.1%</w:t>
            </w:r>
          </w:p>
        </w:tc>
      </w:tr>
      <w:tr>
        <w:trPr>
          <w:trHeight w:val="203"/>
        </w:trPr>
        <w:tc>
          <w:tcPr>
            <w:tcW w:w="20" w:type="dxa"/>
            <w:vAlign w:val="bottom"/>
          </w:tcPr>
          <w:p>
            <w:pPr>
              <w:spacing w:after="0"/>
              <w:rPr>
                <w:sz w:val="17"/>
                <w:szCs w:val="17"/>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dividends</w:t>
            </w:r>
          </w:p>
        </w:tc>
        <w:tc>
          <w:tcPr>
            <w:tcW w:w="19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0.0%</w:t>
            </w:r>
          </w:p>
        </w:tc>
        <w:tc>
          <w:tcPr>
            <w:tcW w:w="20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- 6.08</w:t>
            </w:r>
          </w:p>
        </w:tc>
        <w:tc>
          <w:tcPr>
            <w:tcW w:w="2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5.31</w:t>
            </w:r>
          </w:p>
        </w:tc>
      </w:tr>
      <w:tr>
        <w:trPr>
          <w:trHeight w:val="203"/>
        </w:trPr>
        <w:tc>
          <w:tcPr>
            <w:tcW w:w="20" w:type="dxa"/>
            <w:vAlign w:val="bottom"/>
          </w:tcPr>
          <w:p>
            <w:pPr>
              <w:spacing w:after="0"/>
              <w:rPr>
                <w:sz w:val="17"/>
                <w:szCs w:val="17"/>
                <w:color w:val="auto"/>
              </w:rPr>
            </w:pPr>
          </w:p>
        </w:tc>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- 3.9%</w:t>
            </w:r>
          </w:p>
        </w:tc>
        <w:tc>
          <w:tcPr>
            <w:tcW w:w="20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4.4%</w:t>
            </w:r>
          </w:p>
        </w:tc>
      </w:tr>
    </w:tbl>
    <w:p>
      <w:pPr>
        <w:spacing w:after="0" w:line="9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stock options granted during the three months ended March 31, 2026 and 2025 were $5.22 and $3.39, respectively.</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recognized $2.1 million and $1.3 million of equity-based compensation expense in connection with stock options during the three months ended March 31, 2026 and 2025, respectively. As of March 31, 2026, there was $18.0 million of total unrecognized equity-based compensation expense related to unvested stock options, which is expected to be recognized over a weighted average period of 2.8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with respect to RSUs during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RSUs at January 1, 2026</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3,809,777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3"/>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2,232,271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(675,385)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9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(52,146)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RSUs at March 31, 2026</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5,314,517</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$2.0 million and $1.0 million of equity-based compensation expense in connection with RSUs during the three months ended March 31, 2026 and 2025, respectively. As of March 31, 2026, there was $27.4 million of total unrecognized equity-based compensation expense related to nonvested RSUs, which is expected to be recognized over a weighted average period of 3.2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June 2024, the Board approved a grant of performance-based restricted stock unit awards (“PSUs” or “Performance Awards”) to the Company’s executive team. Each PSU represents the contingent right to receive one share of the Company’s common stock. These Performance Awards provide for the vesting of 25% of the target number of underlying RSUs granted upon the achievement of each of four independent performance milestones predetermined by the Board (“Performance Milestones”), subject to the grantee’s continued service with the Company (the “Approval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Milestones are tied to the achievement of certain business objectives and are non-market and non-financial in nature.</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first quarter of 2026, the Board determined that the first performance milestone was achieved and 25% of the target number of shares vested for each executive officer upon such determination. In the first quarter of 2026, the Board also determined that a second performance milestone was achieved and that 25% of the target number of shares for the executive officers will vest on the 2027 Evaluation Date, which will occur in the first quarter of 2027, subject to such executive officer’s continued service to the company on such date. The Board will determine whether the remaining two performance conditions have been satisfied and the remaining number of units that may vest on the 2027 Evaluation Date. The percentage of the RSUs allocable to any Performance Milestone that has not been achieved on or prior to the 2027 Evaluation Date shall be cancelled.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 summarizes activity with respect to PSUs during the three months ended March 31, 2026:</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9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PSUs at January 1, 2026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2,074,188</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(518,546)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PSUs at March 31, 2026</w:t>
            </w: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1,555,642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$1.0 million of equity-based compensation expense in connection with PSUs during the three months ended March 31, 2026 and 2025. As of March 31, 2026, there was $2.6 million of unrecognized equity-based compensation expense related to nonvested PSUs based on the achievement of all Performance Milestones, which is expected to be recognized over a weighted average period of 0.9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had an outstanding letter of credit in the amount of $1.3 million and $2.0 million at March 31, 2026 and December 31, 2025, respectively, which is required as a condition of the Company’s office and laboratory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its executive officers and members of its Board that require the Company, among other things, to indemnify them against certain liabilities that may arise by reason of their status or service as executive officers or directors of the Company.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March 31, 2026 and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The Company is not aware of any material legal proceedings or claims as of March 31, 2026.</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w:t>
      </w:r>
    </w:p>
    <w:p>
      <w:pPr>
        <w:spacing w:after="0" w:line="24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-3175</wp:posOffset>
            </wp:positionV>
            <wp:extent cx="26828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1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(56,737)</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(39,282)</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Shares used to compute net loss per share, basic and</w:t>
            </w: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Weighted average shares of common stock</w:t>
            </w:r>
          </w:p>
        </w:tc>
        <w:tc>
          <w:tcPr>
            <w:tcW w:w="1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outstanding</w:t>
            </w:r>
          </w:p>
        </w:tc>
        <w:tc>
          <w:tcPr>
            <w:tcW w:w="1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86,104,331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57,301,916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of pre-funded warrants to</w:t>
            </w:r>
          </w:p>
        </w:tc>
        <w:tc>
          <w:tcPr>
            <w:tcW w:w="1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23,707,130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9,039,389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common stock</w:t>
            </w:r>
          </w:p>
        </w:tc>
        <w:tc>
          <w:tcPr>
            <w:tcW w:w="1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90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1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outstanding used to compute basic and diluted</w:t>
            </w:r>
          </w:p>
        </w:tc>
        <w:tc>
          <w:tcPr>
            <w:tcW w:w="11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109,811,461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66,341,305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loss per share</w:t>
            </w:r>
          </w:p>
        </w:tc>
        <w:tc>
          <w:tcPr>
            <w:tcW w:w="1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(0.52)</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-162560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320"/>
        <w:spacing w:after="0" w:line="222" w:lineRule="exact"/>
        <w:rPr>
          <w:sz w:val="20"/>
          <w:szCs w:val="20"/>
          <w:color w:val="auto"/>
        </w:rPr>
      </w:pPr>
      <w:r>
        <w:rPr>
          <w:rFonts w:ascii="Times New Roman" w:cs="Times New Roman" w:eastAsia="Times New Roman" w:hAnsi="Times New Roman"/>
          <w:sz w:val="18"/>
          <w:szCs w:val="18"/>
          <w:color w:val="auto"/>
        </w:rPr>
        <w:t>Included within weighted average shares of common stock outstanding for the three months ended March 31, 2026 and 2025 are 44,408,300 and 16,600,818 shares of common stock issuable upon the exercise of the pre-funded warrants, respectively.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are exercisable at any time for nominal consideration, and as such, the shares are considered outstanding for the purpose of calculating basic and diluted net loss per share.</w:t>
      </w:r>
    </w:p>
    <w:p>
      <w:pPr>
        <w:spacing w:after="0" w:line="9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outstanding securities presented below were excluded from the calculation of net loss per share because the inclusion of such securities would have been anti-dilutive due to the Company’s net loss during the periods presented.</w:t>
      </w:r>
    </w:p>
    <w:p>
      <w:pPr>
        <w:spacing w:after="0" w:line="18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wp:posOffset>
            </wp:positionV>
            <wp:extent cx="27089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96"/>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6,129,390</w:t>
            </w:r>
          </w:p>
        </w:tc>
        <w:tc>
          <w:tcPr>
            <w:tcW w:w="24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2,850,441</w:t>
            </w:r>
          </w:p>
        </w:tc>
        <w:tc>
          <w:tcPr>
            <w:tcW w:w="120" w:type="dxa"/>
            <w:vAlign w:val="bottom"/>
            <w:shd w:val="clear" w:color="auto" w:fill="CFF0FC"/>
          </w:tcPr>
          <w:p>
            <w:pPr>
              <w:spacing w:after="0"/>
              <w:rPr>
                <w:sz w:val="17"/>
                <w:szCs w:val="17"/>
                <w:color w:val="auto"/>
              </w:rPr>
            </w:pPr>
          </w:p>
        </w:tc>
      </w:tr>
      <w:tr>
        <w:trPr>
          <w:trHeight w:val="203"/>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5,314,517</w:t>
            </w:r>
          </w:p>
        </w:tc>
        <w:tc>
          <w:tcPr>
            <w:tcW w:w="2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3,174,668</w:t>
            </w:r>
          </w:p>
        </w:tc>
        <w:tc>
          <w:tcPr>
            <w:tcW w:w="120" w:type="dxa"/>
            <w:vAlign w:val="bottom"/>
          </w:tcPr>
          <w:p>
            <w:pPr>
              <w:spacing w:after="0"/>
              <w:rPr>
                <w:sz w:val="17"/>
                <w:szCs w:val="17"/>
                <w:color w:val="auto"/>
              </w:rPr>
            </w:pPr>
          </w:p>
        </w:tc>
      </w:tr>
      <w:tr>
        <w:trPr>
          <w:trHeight w:val="203"/>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performance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1,555,642</w:t>
            </w:r>
          </w:p>
        </w:tc>
        <w:tc>
          <w:tcPr>
            <w:tcW w:w="24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2,165,325</w:t>
            </w:r>
          </w:p>
        </w:tc>
        <w:tc>
          <w:tcPr>
            <w:tcW w:w="120" w:type="dxa"/>
            <w:vAlign w:val="bottom"/>
            <w:shd w:val="clear" w:color="auto" w:fill="CFF0FC"/>
          </w:tcPr>
          <w:p>
            <w:pPr>
              <w:spacing w:after="0"/>
              <w:rPr>
                <w:sz w:val="17"/>
                <w:szCs w:val="17"/>
                <w:color w:val="auto"/>
              </w:rPr>
            </w:pPr>
          </w:p>
        </w:tc>
      </w:tr>
      <w:tr>
        <w:trPr>
          <w:trHeight w:val="203"/>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subject to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272,450</w:t>
            </w:r>
          </w:p>
        </w:tc>
        <w:tc>
          <w:tcPr>
            <w:tcW w:w="2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234,154</w:t>
            </w:r>
          </w:p>
        </w:tc>
        <w:tc>
          <w:tcPr>
            <w:tcW w:w="120" w:type="dxa"/>
            <w:vAlign w:val="bottom"/>
          </w:tcPr>
          <w:p>
            <w:pPr>
              <w:spacing w:after="0"/>
              <w:rPr>
                <w:sz w:val="17"/>
                <w:szCs w:val="17"/>
                <w:color w:val="auto"/>
              </w:rPr>
            </w:pPr>
          </w:p>
        </w:tc>
      </w:tr>
      <w:tr>
        <w:trPr>
          <w:trHeight w:val="203"/>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13,273,999</w:t>
            </w:r>
          </w:p>
        </w:tc>
        <w:tc>
          <w:tcPr>
            <w:tcW w:w="2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8,427,151</w:t>
            </w:r>
          </w:p>
        </w:tc>
        <w:tc>
          <w:tcPr>
            <w:tcW w:w="120" w:type="dxa"/>
            <w:vAlign w:val="bottom"/>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-162560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one reportable and one operating segment and conducts its business activities primarily in North America and on a consolidated basis. The Company’s singular focus is developing treatments through gene therapy and other means for patients with neuromuscular and cardiac diseases. All of the Company’s tangible assets are held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 are the same as those described in the summary of significant accounting policies.</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assesses performance for the Company and decides how to allocate resources based on net loss as reported on the condensed consolidated statements of operations. The annual budgeting process is the primary mechanism used to make these decisions. The financial information also helps in making performance assessments using budgeted versus actual results.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presents segment expenses, other segment items, and segment net loss for the periods presented:</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3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28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SGT-003</w:t>
            </w:r>
          </w:p>
        </w:tc>
        <w:tc>
          <w:tcPr>
            <w:tcW w:w="38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22,942</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9,166</w:t>
            </w:r>
          </w:p>
        </w:tc>
        <w:tc>
          <w:tcPr>
            <w:tcW w:w="100" w:type="dxa"/>
            <w:vAlign w:val="bottom"/>
          </w:tcPr>
          <w:p>
            <w:pPr>
              <w:spacing w:after="0"/>
              <w:rPr>
                <w:sz w:val="17"/>
                <w:szCs w:val="17"/>
                <w:color w:val="auto"/>
              </w:rPr>
            </w:pPr>
          </w:p>
        </w:tc>
      </w:tr>
      <w:tr>
        <w:trPr>
          <w:trHeight w:val="202"/>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SGT-501</w:t>
            </w:r>
          </w:p>
        </w:tc>
        <w:tc>
          <w:tcPr>
            <w:tcW w:w="28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SGT-212</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External R&amp;D other</w:t>
            </w:r>
          </w:p>
        </w:tc>
        <w:tc>
          <w:tcPr>
            <w:tcW w:w="28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40"/>
              <w:spacing w:after="0" w:line="203" w:lineRule="exact"/>
              <w:rPr>
                <w:sz w:val="20"/>
                <w:szCs w:val="20"/>
                <w:color w:val="auto"/>
              </w:rPr>
            </w:pPr>
            <w:r>
              <w:rPr>
                <w:rFonts w:ascii="Times New Roman" w:cs="Times New Roman" w:eastAsia="Times New Roman" w:hAnsi="Times New Roman"/>
                <w:sz w:val="16"/>
                <w:szCs w:val="16"/>
                <w:color w:val="auto"/>
              </w:rPr>
              <w:t>Internal R&amp;D expense</w:t>
            </w:r>
            <w:r>
              <w:rPr>
                <w:rFonts w:ascii="Times New Roman" w:cs="Times New Roman" w:eastAsia="Times New Roman" w:hAnsi="Times New Roman"/>
                <w:sz w:val="21"/>
                <w:szCs w:val="21"/>
                <w:color w:val="auto"/>
                <w:vertAlign w:val="superscript"/>
              </w:rPr>
              <w:t>(1)</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6,843</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External G&amp;A expense</w:t>
            </w:r>
          </w:p>
        </w:tc>
        <w:tc>
          <w:tcPr>
            <w:tcW w:w="28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40"/>
              <w:spacing w:after="0" w:line="203" w:lineRule="exact"/>
              <w:rPr>
                <w:sz w:val="20"/>
                <w:szCs w:val="20"/>
                <w:color w:val="auto"/>
              </w:rPr>
            </w:pPr>
            <w:r>
              <w:rPr>
                <w:rFonts w:ascii="Times New Roman" w:cs="Times New Roman" w:eastAsia="Times New Roman" w:hAnsi="Times New Roman"/>
                <w:sz w:val="16"/>
                <w:szCs w:val="16"/>
                <w:color w:val="auto"/>
              </w:rPr>
              <w:t>Internal G&amp;A expense</w:t>
            </w:r>
            <w:r>
              <w:rPr>
                <w:rFonts w:ascii="Times New Roman" w:cs="Times New Roman" w:eastAsia="Times New Roman" w:hAnsi="Times New Roman"/>
                <w:sz w:val="21"/>
                <w:szCs w:val="21"/>
                <w:color w:val="auto"/>
                <w:vertAlign w:val="superscript"/>
              </w:rPr>
              <w:t>(1)</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00" w:type="dxa"/>
            <w:vAlign w:val="bottom"/>
          </w:tcPr>
          <w:p>
            <w:pPr>
              <w:spacing w:after="0"/>
              <w:rPr>
                <w:sz w:val="17"/>
                <w:szCs w:val="17"/>
                <w:color w:val="auto"/>
              </w:rPr>
            </w:pPr>
          </w:p>
        </w:tc>
      </w:tr>
      <w:tr>
        <w:trPr>
          <w:trHeight w:val="203"/>
        </w:trPr>
        <w:tc>
          <w:tcPr>
            <w:tcW w:w="4920" w:type="dxa"/>
            <w:vAlign w:val="bottom"/>
            <w:shd w:val="clear" w:color="auto" w:fill="CFF0FC"/>
          </w:tcPr>
          <w:p>
            <w:pPr>
              <w:ind w:left="140"/>
              <w:spacing w:after="0" w:line="203"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28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00" w:type="dxa"/>
            <w:vAlign w:val="bottom"/>
            <w:shd w:val="clear" w:color="auto" w:fill="CFF0FC"/>
          </w:tcPr>
          <w:p>
            <w:pPr>
              <w:spacing w:after="0"/>
              <w:rPr>
                <w:sz w:val="17"/>
                <w:szCs w:val="17"/>
                <w:color w:val="auto"/>
              </w:rPr>
            </w:pPr>
          </w:p>
        </w:tc>
      </w:tr>
      <w:tr>
        <w:trPr>
          <w:trHeight w:val="20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(770)</w:t>
            </w:r>
          </w:p>
        </w:tc>
      </w:tr>
      <w:tr>
        <w:trPr>
          <w:trHeight w:val="20"/>
        </w:trPr>
        <w:tc>
          <w:tcPr>
            <w:tcW w:w="4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Condensed consolidated net loss</w:t>
            </w:r>
          </w:p>
        </w:tc>
        <w:tc>
          <w:tcPr>
            <w:tcW w:w="38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(56,737)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(39,282)</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(1)</w:t>
      </w:r>
    </w:p>
    <w:p>
      <w:pPr>
        <w:ind w:left="420"/>
        <w:spacing w:after="0" w:line="214" w:lineRule="auto"/>
        <w:rPr>
          <w:sz w:val="20"/>
          <w:szCs w:val="20"/>
          <w:color w:val="auto"/>
        </w:rPr>
      </w:pP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8"/>
          <w:szCs w:val="18"/>
          <w:color w:val="auto"/>
        </w:rPr>
        <w:t xml:space="preserve"> Internal expenses consisted primarily of payroll and related costs, temporary services, and travel and entertainment.</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segment items primarily included other program costs, equity-based compensation expense, and depreciation and amortization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condensed consolidated assets.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financial statements and related notes for the year ended December 31, 2025 included in our annual report on Form 10-K filed on March 19, 2026.</w:t>
      </w:r>
    </w:p>
    <w:p>
      <w:pPr>
        <w:spacing w:after="0" w:line="6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Some of the statements contained in this discussion and analysis or set forth elsewhere in this quarterly report on Form 10-Q, including information with respect to our plans and strategy for our business, constitute forward looking statements within the meaning of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 Item 1A “Risk Factors” and our other filings with the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74" w:lineRule="exact"/>
        <w:rPr>
          <w:sz w:val="20"/>
          <w:szCs w:val="20"/>
          <w:color w:val="auto"/>
        </w:rPr>
      </w:pPr>
    </w:p>
    <w:p>
      <w:pPr>
        <w:ind w:right="40"/>
        <w:spacing w:after="0" w:line="219" w:lineRule="exact"/>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made as of the date of the filing of this Form 10-Q with the SEC and should not be relied upon as of any subsequent date. Even if our results of operations, financial condition and liquidity, and the development of the industry in which we operate are consistent with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(“Duchenne”), SGT-212 for the treatment of Friedreich’s ataxia (“FA”), SGT-501 for the treatment of catecholaminergic polymorphic ventricular tachycardia (“CPVT”), SGT-601 for the treatment of TNNT2-mediated dilated cardiomyopathy (“TNNT2 DCM”), and additional assets for the treatment of genetic cardiac and neuromuscular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underserved patients with sometimes fatal neuromuscular and cardiac diseases;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innovative libraries of delivery capsids and other enabling technologies with the potential to have broad impact on the gene therapy field at large;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ind w:right="40"/>
        <w:spacing w:after="0" w:line="258" w:lineRule="auto"/>
        <w:rPr>
          <w:sz w:val="20"/>
          <w:szCs w:val="20"/>
          <w:color w:val="auto"/>
        </w:rPr>
      </w:pPr>
      <w:r>
        <w:rPr>
          <w:rFonts w:ascii="Times New Roman" w:cs="Times New Roman" w:eastAsia="Times New Roman" w:hAnsi="Times New Roman"/>
          <w:sz w:val="18"/>
          <w:szCs w:val="18"/>
          <w:color w:val="auto"/>
        </w:rPr>
        <w:t>We are continuing to advance our pipeline of Candidates. The U.S. Food and Drug Administration (the “FDA”) has granted Fast Track, Orphan Drug, and Rare Pediatric Disease designations for SGT-003 for Duchenne, and SGT-003 has also been awarded Orphan Drug designation from the European Commission for the treatment of Duchenne, in addition to an Innovation Passport by the new UK Innovative Licensing and Access Pathway, which aims to accelerate time to market and facilitate patient access to new medicines in the United Kingdom. The FDA has granted Fast Track, Orphan Drug and Rare Pediatric Disease designations to SGT-212 for the treatment of FA and SGT-501 for the treatment of CPVT.</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we continue to pursue opportunities in both the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and components used in our manufacturing processes. We continue to monitor these developments closely.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SGT-003</w:t>
      </w:r>
    </w:p>
    <w:p>
      <w:pPr>
        <w:spacing w:after="0" w:line="119"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Participant dosing in the Phase 1/2 INSPIRE DUCHENNE trial of SGT-003 began in the second quarter of 2024. The INSPIRE DUCHENNE trial is a Phase 1/2 first-in-human, open-label, single-dose, multicenter trial designed to evaluate the safety, tolerability and efficacy of SGT-003 in pediatric patients with Duchenne at a dose of 1E14vg/kg. SGT-003 is administered as a one-time intravenous infusion. Since initiation of the INSPIRE DUCHENNE clinical trial, we amended the clinical trial protocol to increase the anticipated participant enrollment size, expand the participant cohort age groups, and extend the time points of certain secondary objective measurements. In connection with the expanded clinical trial, we have initiated work for additional Good Manufacturing Practices (“GMP”) batches of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w:t>
      </w:r>
    </w:p>
    <w:p>
      <w:pPr>
        <w:spacing w:after="0" w:line="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11, 2026, we announced positive new interim data from the Phase 1/2 INSPIRE DUCHENNE clinical trial as of a February 23, 2026 data cutoff date. For a full description of the initial results from the INSPIRE DUCHENNE trial, see Part I, Item I, “Business” in our Annual Report on Form 10-K filed on March 19, 2026.</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SGT-003 has been generally well tolerated in the 47 participants dosed in the Phase 1/2 INSPIRE DUCHENNE clinical trial as of May 11, 2026. The safety and tolerability profile observed in the INSPIRE DUCHENNE trial continued to be promising; SGT-003 is administered using a low-burden, steroid-only prophylactic immunomodulation regimen. As of May 11, 2026, there was one previously disclosed treatment-related serious adverse event reported in the INSPIRE DUCHENNE trial. This serious adverse event was identified as a Grade 3 immune-mediated myositis which, importantly, was not associated with muscle pain or weakness, and occurred in a participant who had a large deletion in a region coded for by SGT-003’s microdystrophin. The trial participant promptly responded to steroid treatment and the event has resolved. This serious adverse event was reviewed by the data and safety monitoring board with the recommendation to continue dosing without interruption.</w:t>
      </w:r>
    </w:p>
    <w:p>
      <w:pPr>
        <w:spacing w:after="0" w:line="8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Enrollment and dosing in the INSPIRE DUCHENNE trial is ongoing and being conducted at 15 clinical sites across the United States, Canada, Italy and the United Kingdom. We believe we have aligned with the FDA on SGT-003's potency assay strategy and will continue commercial-readiness CMC activities, with our process performance qualification manufacturing batches to be completed in 2026.</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2025, we activated the first clinical trial site and began screening participants for IMPACT DUCHENNE, a Phase 3 randomized, double-blind, placebo-controlled trial evaluating SGT-003. In February 2026, we announced positive feedback from a Type C meeting with the FDA where we reached alignment on the IMPACT DUCHENNE trial design, including: the patient population of ambulant participants 7 to &lt;12 years of age, the primary endpoint of change from baseline in Time to Rise (TTR) velocity from supine position evaluated at 18 months and other key secondary endpoints. Clinical trial sites for IMPACT DUCHENNE are currently active in Australia and Canada and additional clinical site activations in the UK and US are expected in the second half of 2026, with sites in the EU anticipated to follow, subject to regulatory clearances. Participant screening is underway and we dosed our first participant in the IMPACT DUCHENNE trial in April 2026.</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to continue discussions with the FDA as we seek guidance on a potential accelerated approval pathway for SGT-003 and we expect to provide an update as regulatory discussions progress.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FDA has granted Fast Track, Orphan Drug, and Rare Pediatric Disease designations for SGT-003 and the European Commission has granted Orphan drug designation for SGT-003 for the treatment of Duchenne. SGT-003 has been awarded an Innovation Passport by the new UK Innovative Licensing and Access Pathway, which aims to accelerate time to market and facilitate patient access to new medicines in the United Kingdom.</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Solid has received a positive opinion from the European Medicines Agency's Paediatric Committee on its Pediatric Investigation Plan (PIP), establishing alignment on its pediatric development framework for SGT-003 in Europe.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SGT-212</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2025, we announced that the FDA cleared our IND for SGT-212 for the treatment of FA. In October 2025, we activated the first clinical trial site and began screening participants for FALCON, an open-label, multi-center Phase 1b clinical trial of SGT-212, and in January 2026, we dosed the first participant in the trial. Two participants have been dosed in the FALCON clinical trial and SGT-212 has been well tolerated with no serious adverse events observed as of May 11, 2026.</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trial is expected to enroll approximately 10 non-ambulatory and ambulatory adult participants (aged 18-40) living with FA in up to three cohorts and is designed to evaluate the safety and tolerability of contemporaneous IDN and systemic IV infusion of SGT-212, with initial data anticipated by the end of 2026, subject to participant enrollment. The FDA has granted Fast Track, Orphan Drug and Rare Pediatric Disease designations to SGT-212 for the treatment of FA.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SGT-501</w:t>
      </w:r>
    </w:p>
    <w:p>
      <w:pPr>
        <w:spacing w:after="0" w:line="11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July 2025, we announced that the FDA cleared our IND and that Health Canada approved our clinical trial application for SGT-501 for the treatment of CPVT. In January 2026, we announced that clinical trial sites have been activated and participant screening is underway in the ARTEMIS clinical trial, an open-label, multi-center Phase 1b clinical trial evaluating SGT-501 in adult participants with CPVT. The ARTEMIS trial is designed to evaluate the safety and tolerability of a single IV infusion of SGT-501. We anticipate dosing our first participant in the second half of 2026 with initial safety data anticipated in the first half of 2027, subject to participant enrollment.</w:t>
      </w:r>
    </w:p>
    <w:p>
      <w:pPr>
        <w:spacing w:after="0" w:line="75" w:lineRule="exact"/>
        <w:rPr>
          <w:sz w:val="20"/>
          <w:szCs w:val="20"/>
          <w:color w:val="auto"/>
        </w:rPr>
      </w:pPr>
    </w:p>
    <w:p>
      <w:pPr>
        <w:ind w:right="2020"/>
        <w:spacing w:after="0" w:line="375" w:lineRule="auto"/>
        <w:rPr>
          <w:sz w:val="20"/>
          <w:szCs w:val="20"/>
          <w:color w:val="auto"/>
        </w:rPr>
      </w:pPr>
      <w:r>
        <w:rPr>
          <w:rFonts w:ascii="Times New Roman" w:cs="Times New Roman" w:eastAsia="Times New Roman" w:hAnsi="Times New Roman"/>
          <w:sz w:val="18"/>
          <w:szCs w:val="18"/>
          <w:color w:val="auto"/>
        </w:rPr>
        <w:t xml:space="preserve">The FDA has granted Fast Track, Orphan Drug and Rare Pediatric Disease designations to SGT-501 for the treatment of CPVT. </w:t>
      </w:r>
      <w:r>
        <w:rPr>
          <w:rFonts w:ascii="Times New Roman" w:cs="Times New Roman" w:eastAsia="Times New Roman" w:hAnsi="Times New Roman"/>
          <w:sz w:val="18"/>
          <w:szCs w:val="18"/>
          <w:i w:val="1"/>
          <w:iCs w:val="1"/>
          <w:color w:val="auto"/>
        </w:rPr>
        <w:t>Other Cardiac Programs</w:t>
      </w:r>
    </w:p>
    <w:p>
      <w:pPr>
        <w:spacing w:after="0" w:line="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currently developing a preclinical product candidate, SGT-601, for the treatment of TNNT2 DCM. Efficacy studies in mice suggest that SGT-601 treatment resulted in a restoration of ejection fraction function and a stabilization in cardiac function over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Capsids</w:t>
      </w:r>
    </w:p>
    <w:p>
      <w:pPr>
        <w:spacing w:after="0" w:line="92" w:lineRule="exact"/>
        <w:rPr>
          <w:sz w:val="20"/>
          <w:szCs w:val="20"/>
          <w:color w:val="auto"/>
        </w:rPr>
      </w:pPr>
    </w:p>
    <w:p>
      <w:pPr>
        <w:ind w:right="20"/>
        <w:spacing w:after="0" w:line="234" w:lineRule="exact"/>
        <w:rPr>
          <w:sz w:val="20"/>
          <w:szCs w:val="20"/>
          <w:color w:val="auto"/>
        </w:rPr>
      </w:pPr>
      <w:r>
        <w:rPr>
          <w:rFonts w:ascii="Times New Roman" w:cs="Times New Roman" w:eastAsia="Times New Roman" w:hAnsi="Times New Roman"/>
          <w:sz w:val="17"/>
          <w:szCs w:val="17"/>
          <w:color w:val="auto"/>
        </w:rPr>
        <w:t>In March of 2026, we began using the mark POLARIS-101</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xml:space="preserve"> to represent our AAV-SLB101 capsid (“POLARIS-101</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POLARIS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101</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xml:space="preserve"> is our rationally designed, proprietary capsid used in SGT-003 for Duchenne, which has been generally well tolerated as of May 11, 2026 (N=47) in the INSPIRE DUCHENNE clinical trial, and was also well tolerated in nonclinical NHP and mouse models. We aim to license POLARIS-101</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xml:space="preserve"> broadly to corporations, institutions and academic labs pursuing neuromuscular and cardiac rare disease research, with more than 50 agreements, including licenses, executed.</w:t>
      </w:r>
    </w:p>
    <w:p>
      <w:pPr>
        <w:spacing w:after="0" w:line="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The majority of our current programs are designed to treat these diseases with gene transfer products. Gene transfer, a type of gene therapy, is designed to address diseases caused by mutated genes through the delivery of functional versions of genes, called transgenes. The transgenes are then utilized by the body to produce desired proteins that act therapeutically to treat the condition.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retains its ability to introduce new genetic material directly into patients’ cells. Adeno-associated virus (“AAV”) capsids have been approved for use to deliver transgenes to patients, including via systemic delivery as well as stereotactic neurosurgical administration to the brain. The use of AAV capsids to deliver gene therapies has also been extensively studied by third parties in human clinical trials for multiple disease indications, and in certain of these trials AAV was delivered systemically to the participant.</w:t>
      </w:r>
    </w:p>
    <w:p>
      <w:pPr>
        <w:spacing w:after="0" w:line="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building cardiac and neuromuscular next-generation capsid and promoter libraries with capsid selection from the first library anticipated in the second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 licensing and patent investment, and general and administrative costs associated with our operations, we have generated substantial operating losses in each period since our inception. Our net losses were $56.7 million and $39.3 million for the three months ended March 31, 2026 and 2025, respectively. As of March 31, 2026, we had an accumulated deficit of $1.0 billion. We expect to incur significant expenses and operating losses for the foreseeable future.</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seek to develop and commercialize our Candidates, we anticipate that our expenses will increase significantly and that we will need substantial additional funding to support our continuing operations. Until we can generate significant revenue from product sales, if ever, we expect to finance our operations through a combination of public or private equity financing, debt financings or other sources, which may include licensing agreements or strategic collaborations. We may be unable to raise additional funds or enter into such agreements or arrangements when needed on favorable terms, if at all. If we fail to raise capital or enter into such agreements as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and when needed, we may have to significantly delay, scale back or discontinue the development or commercialization of our Candidates.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7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available-for-sale securities of $380.7 million, excluding restricted cash of $1.3 million. We believe that our cash, cash equivalents, and available-for-sale securities as of March 31, 2026 will enable us to fund our operating expenses and capital expenditure requirements into the first half of 2028. We have based this estimate on assumptions that may prove to be wrong, and we could use our available capital resources sooner than we currently anticipate.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not generated any commercial product revenue to date and do not expect to do so for the foreseeable future, if ever. If our development efforts for our Candidates are successful and result in marketing approval, we may generate commercial product revenue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and general and administrative expenses. Personnel costs, including salaries, benefits, bonuses, and equity-based compensation expense comprise a significant component of both expense categories. We allocate expenses associated with personnel costs based on the nature of work associated with these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clinical and preclinical development activities for our Candidates and include:</w:t>
      </w:r>
    </w:p>
    <w:p>
      <w:pPr>
        <w:spacing w:after="0" w:line="54" w:lineRule="exact"/>
        <w:rPr>
          <w:sz w:val="20"/>
          <w:szCs w:val="20"/>
          <w:color w:val="auto"/>
        </w:rPr>
      </w:pPr>
    </w:p>
    <w:p>
      <w:pPr>
        <w:ind w:left="900" w:right="20" w:hanging="38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that conduct research, preclinical and clinical activities on our behalf, as well as contract development and manufacturing organizations (“CDMOs”) that manufacture SGT-003, SGT-212, SGT-501, and other Candidates for use in our preclinical studies and clinical trials;</w:t>
      </w:r>
    </w:p>
    <w:p>
      <w:pPr>
        <w:spacing w:after="0" w:line="6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equity-based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engaged to assist in our research and development activities, including their fees, equity-based compensation and related travel expenses;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seeking regulatory approval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our intellectual property licenses;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research and development expenses, which include direct depreciation costs and allocated expenses for rent and maintenance of facilities and other operating costs.</w:t>
      </w:r>
    </w:p>
    <w:p>
      <w:pPr>
        <w:spacing w:after="0" w:line="54"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are still in the early stages of development for most of our Candidates. Candidates in later stages of clinical development generally have higher development costs than those in preclinical development or in earlier stages of clinical development, primarily due to the increased size and duration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We expect that our research and development expenses will continue to increase for the foreseeable future if and as we continue to conduct our INSPIRE DUCHENNE, IMPACT DUCHENNE, FALCON and ARTEMIS trials and continue to develop our pipeline and complete ongoing and planned preclinical studies and clinical trials of our Candidates.</w:t>
      </w:r>
    </w:p>
    <w:p>
      <w:pPr>
        <w:spacing w:after="0" w:line="9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our Candidates. We track outsourced development costs and milestone payments made under our licensing arrangements by Candidate, but we do not allocate personnel costs, license payments made under our licensing arrangements or other internal costs to Candidates on a program-specific basis. These costs are included in unallocated research and development expenses in the table below.</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Candidate for the respective periods (in thousands):</w:t>
      </w:r>
    </w:p>
    <w:p>
      <w:pPr>
        <w:spacing w:after="0" w:line="24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9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Allocated research and development expenses:</w:t>
            </w:r>
          </w:p>
        </w:tc>
        <w:tc>
          <w:tcPr>
            <w:tcW w:w="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SGT-003</w:t>
            </w:r>
          </w:p>
        </w:tc>
        <w:tc>
          <w:tcPr>
            <w:tcW w:w="1140" w:type="dxa"/>
            <w:vAlign w:val="bottom"/>
            <w:gridSpan w:val="2"/>
          </w:tcPr>
          <w:p>
            <w:pPr>
              <w:jc w:val="right"/>
              <w:ind w:right="98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22,942</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20" w:type="dxa"/>
            <w:vAlign w:val="bottom"/>
          </w:tcPr>
          <w:p>
            <w:pPr>
              <w:spacing w:after="0"/>
              <w:rPr>
                <w:sz w:val="17"/>
                <w:szCs w:val="17"/>
                <w:color w:val="auto"/>
              </w:rPr>
            </w:pPr>
          </w:p>
        </w:tc>
      </w:tr>
      <w:tr>
        <w:trPr>
          <w:trHeight w:val="203"/>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SGT-501</w:t>
            </w:r>
          </w:p>
        </w:tc>
        <w:tc>
          <w:tcPr>
            <w:tcW w:w="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20" w:type="dxa"/>
            <w:vAlign w:val="bottom"/>
            <w:shd w:val="clear" w:color="auto" w:fill="CFF0FC"/>
          </w:tcPr>
          <w:p>
            <w:pPr>
              <w:spacing w:after="0"/>
              <w:rPr>
                <w:sz w:val="17"/>
                <w:szCs w:val="17"/>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SGT-212</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Pr>
          <w:p>
            <w:pPr>
              <w:spacing w:after="0"/>
              <w:rPr>
                <w:sz w:val="17"/>
                <w:szCs w:val="17"/>
                <w:color w:val="auto"/>
              </w:rPr>
            </w:pPr>
          </w:p>
        </w:tc>
      </w:tr>
      <w:tr>
        <w:trPr>
          <w:trHeight w:val="203"/>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SGT-601</w:t>
            </w:r>
          </w:p>
        </w:tc>
        <w:tc>
          <w:tcPr>
            <w:tcW w:w="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shd w:val="clear" w:color="auto" w:fill="CFF0FC"/>
          </w:tcPr>
          <w:p>
            <w:pPr>
              <w:spacing w:after="0"/>
              <w:rPr>
                <w:sz w:val="17"/>
                <w:szCs w:val="17"/>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tcPr>
          <w:p>
            <w:pPr>
              <w:spacing w:after="0"/>
              <w:rPr>
                <w:sz w:val="17"/>
                <w:szCs w:val="17"/>
                <w:color w:val="auto"/>
              </w:rPr>
            </w:pPr>
          </w:p>
        </w:tc>
      </w:tr>
      <w:tr>
        <w:trPr>
          <w:trHeight w:val="196"/>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allocated research and development expenses</w:t>
            </w:r>
          </w:p>
        </w:tc>
        <w:tc>
          <w:tcPr>
            <w:tcW w:w="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29,719</w:t>
            </w:r>
          </w:p>
        </w:tc>
        <w:tc>
          <w:tcPr>
            <w:tcW w:w="3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7,990</w:t>
            </w:r>
          </w:p>
        </w:tc>
        <w:tc>
          <w:tcPr>
            <w:tcW w:w="120" w:type="dxa"/>
            <w:vAlign w:val="bottom"/>
            <w:shd w:val="clear" w:color="auto" w:fill="CFF0FC"/>
          </w:tcPr>
          <w:p>
            <w:pPr>
              <w:spacing w:after="0"/>
              <w:rPr>
                <w:sz w:val="17"/>
                <w:szCs w:val="17"/>
                <w:color w:val="auto"/>
              </w:rPr>
            </w:pPr>
          </w:p>
        </w:tc>
      </w:tr>
      <w:tr>
        <w:trPr>
          <w:trHeight w:val="203"/>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External expenses</w:t>
            </w:r>
          </w:p>
        </w:tc>
        <w:tc>
          <w:tcPr>
            <w:tcW w:w="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20" w:type="dxa"/>
            <w:vAlign w:val="bottom"/>
          </w:tcPr>
          <w:p>
            <w:pPr>
              <w:spacing w:after="0"/>
              <w:rPr>
                <w:sz w:val="17"/>
                <w:szCs w:val="17"/>
                <w:color w:val="auto"/>
              </w:rPr>
            </w:pPr>
          </w:p>
        </w:tc>
      </w:tr>
      <w:tr>
        <w:trPr>
          <w:trHeight w:val="196"/>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unallocated research and development expenses</w:t>
            </w:r>
          </w:p>
        </w:tc>
        <w:tc>
          <w:tcPr>
            <w:tcW w:w="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3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140" w:type="dxa"/>
            <w:vAlign w:val="bottom"/>
            <w:gridSpan w:val="2"/>
          </w:tcPr>
          <w:p>
            <w:pPr>
              <w:jc w:val="right"/>
              <w:ind w:right="98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30,914</w:t>
            </w:r>
          </w:p>
        </w:tc>
        <w:tc>
          <w:tcPr>
            <w:tcW w:w="120" w:type="dxa"/>
            <w:vAlign w:val="bottom"/>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-693420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-693420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 w:lineRule="exact"/>
        <w:rPr>
          <w:sz w:val="20"/>
          <w:szCs w:val="20"/>
          <w:color w:val="auto"/>
        </w:rPr>
      </w:pPr>
    </w:p>
    <w:p>
      <w:pPr>
        <w:ind w:right="280"/>
        <w:spacing w:after="0" w:line="231" w:lineRule="exact"/>
        <w:rPr>
          <w:sz w:val="20"/>
          <w:szCs w:val="20"/>
          <w:color w:val="auto"/>
        </w:rPr>
      </w:pPr>
      <w:r>
        <w:rPr>
          <w:rFonts w:ascii="Times New Roman" w:cs="Times New Roman" w:eastAsia="Times New Roman" w:hAnsi="Times New Roman"/>
          <w:sz w:val="18"/>
          <w:szCs w:val="18"/>
          <w:color w:val="auto"/>
        </w:rPr>
        <w:t>We cannot determine with certainty the duration, costs, and timing of ongoing and planned clinical trials of SGT-003, SGT-212,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501 or our other Candidates, or if, when, or to what extent we will generate revenue from the commercialization and sale of any of our Candidates for which we obtain marketing approval or our other research and development expenses. We may never succeed in obtaining marketing approval for any of our Candidates. The duration, costs, and timing of clinical trials and development of our Candidates will depend on a variety of factors, including:</w:t>
      </w:r>
    </w:p>
    <w:p>
      <w:pPr>
        <w:spacing w:after="0" w:line="92" w:lineRule="exact"/>
        <w:rPr>
          <w:sz w:val="20"/>
          <w:szCs w:val="20"/>
          <w:color w:val="auto"/>
        </w:rPr>
      </w:pPr>
    </w:p>
    <w:p>
      <w:pPr>
        <w:ind w:left="900" w:right="22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any clinical trials of our Candidates and other research and development activities that we may conduct;</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restrictions on clinical trials, including full and partial clinical holds and the time and activities required to lift any such holds;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participant enrollment or drop out or discontinuation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studies or clinical trials requested by regulatory agencies;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w:t>
      </w:r>
    </w:p>
    <w:p>
      <w:pPr>
        <w:spacing w:after="0" w:line="5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support our research and development activities and activities related to our INSPIRE DUCHENNE trial, our IMPACT DUCHENNE trial, our FALCON trial, our ARTEMIS trial and any other planned or future clinical trials for and potential commercialization of our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Interest income consists of income earned on our cash and cash equivalents, available-for-sale securities, and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right="420"/>
        <w:spacing w:after="0" w:line="282" w:lineRule="auto"/>
        <w:rPr>
          <w:sz w:val="20"/>
          <w:szCs w:val="20"/>
          <w:color w:val="auto"/>
        </w:rPr>
      </w:pPr>
      <w:r>
        <w:rPr>
          <w:rFonts w:ascii="Times New Roman" w:cs="Times New Roman" w:eastAsia="Times New Roman" w:hAnsi="Times New Roman"/>
          <w:sz w:val="18"/>
          <w:szCs w:val="18"/>
          <w:color w:val="auto"/>
        </w:rPr>
        <w:t>the carrying values of assets and liabilities that are not readily apparent from other sources. We evaluate our estimates and assumptions on an ongoing basis. Our actual results may differ materially from these estimates.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critical accounting policies. Our critical accounting policies are described under the heading “Management’s Discussion and Analysis of Financial Condition and Results of Operations—Critical Accounting Policies and Use of Estimates” in our Annual Report on Form 10-K for the year ended December 31, 2025 and the notes to the unaudited condensed consolidated financial statements included in Part I, Item 1, “Financial Statements (unaudited),” of this Quarterly Report on Form 10-Q. We believe that of our critical accounting policies, the following accounting policies involve the most judgment and complexity:</w:t>
      </w:r>
    </w:p>
    <w:p>
      <w:pPr>
        <w:spacing w:after="0" w:line="75"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research and development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liabilities.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46,140</w:t>
            </w:r>
          </w:p>
        </w:tc>
        <w:tc>
          <w:tcPr>
            <w:tcW w:w="22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30,914</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15,226</w:t>
            </w:r>
          </w:p>
        </w:tc>
        <w:tc>
          <w:tcPr>
            <w:tcW w:w="2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17,256</w:t>
            </w:r>
          </w:p>
        </w:tc>
        <w:tc>
          <w:tcPr>
            <w:tcW w:w="2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(57,308)</w:t>
            </w:r>
          </w:p>
        </w:tc>
        <w:tc>
          <w:tcPr>
            <w:tcW w:w="3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(40,052)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(17,256)</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196"/>
        </w:trPr>
        <w:tc>
          <w:tcPr>
            <w:tcW w:w="5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(236)</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(1,650)</w:t>
            </w:r>
          </w:p>
        </w:tc>
        <w:tc>
          <w:tcPr>
            <w:tcW w:w="3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(199)</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(56,737)</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(39,282)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(17,455)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-1224915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-1224915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-1224915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-1224915</wp:posOffset>
            </wp:positionV>
            <wp:extent cx="128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-950595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-950595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-950595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-950595</wp:posOffset>
            </wp:positionV>
            <wp:extent cx="1289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-161925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-161925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-161925</wp:posOffset>
            </wp:positionV>
            <wp:extent cx="1289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Candidate for the periods indicated (in thousands, except 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Allocated research and development expenses:</w:t>
            </w: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SGT-003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22,942</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SGT-501</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(3,059)</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SGT-212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301.9%</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SGT-601</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(1,669)</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02"/>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allocated research and development expenses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29,719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11,491</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External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unallocated research and development expenses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46,140</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30,914</w:t>
            </w:r>
          </w:p>
        </w:tc>
        <w:tc>
          <w:tcPr>
            <w:tcW w:w="2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15,226</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-693420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-693420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-693420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-693420</wp:posOffset>
            </wp:positionV>
            <wp:extent cx="1289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-161925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-161925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-161925</wp:posOffset>
            </wp:positionV>
            <wp:extent cx="1289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were $46.1 million, compared to $30.9 million for the three months ended March 31, 2025. The increase of $15.2 million in research and development expenses was primarily due to a $13.6 million increase in costs for SGT-003 primarily related to manufacturing and clinical costs, a $3.3 million increase in personnel related expenses, a $2.5 million increase in costs for SGT-212 primarily related to clinical costs and license and milestone payments, and a $0.4 million increase in external expenses primarily related to consulting and professional services, partially offset by a $3.1 million decrease in costs for SGT-501 primarily related to lower manufacturing and research costs, and a $1.7 million decrease in costs for SGT-601 related to lower manufacturing and research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$11.2 million for the three months ended March 31, 2026, compared to $9.1 million for the three months ended March 31, 2025. The increase of $2.0 million was primarily related to a $1.5 million increase in personnel related costs, a $0.5 million increase in consulting services, and a $0.4 million increase in equipment costs, partially offset by a $0.5 million decrease in legal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income, net was $0.6 million for the three months ended March 31, 2026 compared to $0.8 million for the three months ended March 31, 2025. The decrease of $0.2 million was primarily related to lower interest income from our available-for-sale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securities in private placements and follow-on offerings, the sale of common stock in our initial public offering, and sales of common stock under our “at-the-market offering” sales agreement with Jefferies LLC (“Jefferies”) (the “ATM Sales Agreement”). Through March 31, 2026, we raised an aggregate of $144.6 million of gross proceeds from our sales of preferred units prior to the completion of our initial public offering, and an aggregate of $1.1 billion of net proceeds from the sale of our common stock through public offerings, including our IPO and follow-on public offerings, private placements, the ATM Sales Agreement, and pursuant to the stock purchase agreements.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13, 2019, we entered into the ATM Sales Agreement, which was amended and restated in March 2024, under which we may offer and sell, from time to time, shares of our common stock through Jefferies as sales agent. Any such sales being made by any method that is deemed an “at-the-market offering” as defined in Rule 415 promulgated under the Securities Act. We will pay Jefferies a commission of up to 3% of the gross proceeds of any sales of common stock pursuant to the ATM Sales Agreement. During the year ended December 31, 2025, we sold 891,414 shares pursuant to the ATM Sales Agreement resulting in net proceeds of $5.1 million. During the three months ended March 31, 2026, we sold 1,937,623 shares pursuant to the ATM Sales Agreement resulting in net proceeds of $11.9 million.</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19, 2025, we issued and sold in an underwritten offering (the “February 2025 Offering”), 35,739,810 shares of our common stock at a price of $4.03 per share and, to certain investors in lieu of shares of common stock, pre-funded warrants to purchase 13,888,340 shares of common stock at a price of $4.029 per pre-funded warrant. We received approximately $188.0 million of net proceeds from the February 2025 Offering, after deducting underwriting discounts and commissions and offering costs.</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March 9, 2026, we issued and sold 14,973,257 shares of our common stock at a price of $5.61 per share, and, to certain investors in lieu of shares of common stock, pre-funded warrants to purchase 27,807,482 shares of its common stock at a price of $5.609 per pre-funded warrant, (the “March 2026 Private Placement”). We received approximately $226.3 million of aggregate net proceeds from the March 2026 Private Placement, after deducting offering costs.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2026, we had cash, cash equivalents, and available-for-sale securities of $380.7 million, excluding restricted cash of $1.3 million, and had no debt outstanding.</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100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(47,230)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(31,850)</w:t>
            </w: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(27,463)</w:t>
            </w:r>
          </w:p>
        </w:tc>
      </w:tr>
      <w:tr>
        <w:trPr>
          <w:trHeight w:val="203"/>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239,027</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189,728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236,555</w:t>
            </w:r>
          </w:p>
        </w:tc>
        <w:tc>
          <w:tcPr>
            <w:tcW w:w="180" w:type="dxa"/>
            <w:vAlign w:val="bottom"/>
          </w:tcPr>
          <w:p>
            <w:pPr>
              <w:spacing w:after="0"/>
              <w:rPr>
                <w:sz w:val="17"/>
                <w:szCs w:val="17"/>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130,415</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$47.2 million of cash, primarily resulting from our net loss of $56.7 million partially offset by changes in our operating assets and liabilities of $2.3 million and non-cash charges of $7.2 million. Net cash used by changes in our operating assets and liabilities during the three months ended March 31, 2026 consisted of an increase in accounts payable of $2.3 million and a decrease in prepaid expenses and other assets of $1.0 million, offset by a decrease in accrued expenses and other liabilities of $0.5 million and a decrease in the operating lease liability of $0.5 million. Non-cash activities were driven by equity-based compensation of $5.2 million, a change in the fair value of derivative liabilities of $1.7 million, non-cash lease expense of $0.6 million, and depreciation and amortization expense of $0.4 million, partially offset by amortization of discount on available-for-sale securities of $0.6 million.</w:t>
      </w:r>
    </w:p>
    <w:p>
      <w:pPr>
        <w:spacing w:after="0" w:line="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$31.9 million of cash, primarily resulting from our net loss of $39.3 million partially offset by changes in our operating assets and liabilities of $1.8 million and non-cash charges of $5.6 million. Net cash used by changes in our operating assets and liabilities during the three months ended March 31, 2025 consisted of a decrease of $2.0 million in prepaid and other assets and an increase in accounts payable of $0.5 million, offset by a decrease in the operating lease liability of $0.4 million and a decrease in accrued expenses and other liabilities of $0.3 million. Non-cash activities were driven by equity-based compensation of $3.3 million, depreciation and amortization expense of $0.4 million, non-cash lease expense of $0.6 million, and a change in the fair value of derivative liabilities of $1.7 million, partially offset by amortization on available-for-sale securities of $0.3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investing activities provided $44.8 million of cash, resulting from the maturities of available-for-sale securities of $128.4 million, partially offset by purchases of available-for sale securities of $83.5 million and the purchases of property plant and equipment of $0.2 million.</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used $27.5 million of cash, resulting from the purchases of available-for sale securities of $65.3 million and the purchases of property plant and equipment of $0.1 million, partially offset by the maturity of available-for sale securities of $38.0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financing activities provided $239.0 million of cash, primarily resulting from the net proceeds from the issuance and sale of common stock and pre-funded warrants to purchase shares of common stock in the March 2026 Private Placement.</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provided $189.7 million of cash, resulting from the net proceeds from the issuance and sale of common stock and pre-funded warrants to purchase shares of common stock in the February 2025 Offering, offset by payments of the principal portion of finance lease obligations of $0.1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development activities related to our Candidates. In addition, we have incurred and expect to continue to incur costs associated with operating as a public company. We expect that our expenses will increase substantially if and as we:</w:t>
      </w:r>
    </w:p>
    <w:p>
      <w:pPr>
        <w:spacing w:after="0" w:line="68" w:lineRule="exact"/>
        <w:rPr>
          <w:sz w:val="20"/>
          <w:szCs w:val="20"/>
          <w:color w:val="auto"/>
        </w:rPr>
      </w:pPr>
    </w:p>
    <w:p>
      <w:pPr>
        <w:ind w:left="1020" w:right="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participants in our INSPIRE DUCHENNE, IMPACT DUCHENNE, FALCON and ARTEMIS trials and advance clinical development of SGT-003, SGT-212 and SGT-501;</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arrange manufacturing for larger quantities of our Candidates for preclinical and clinical development and potential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March 31, 2026, we had cash, cash equivalents and available-for-sale securities of $380.7 million, excluding restricted cash of $1.3 million. Based on our current operating plan, we believe that our cash, cash equivalents and available-for-sale securities as of March 31, 2026 will be sufficient to fund our operating expenses and capital requirements into the first half of 2028.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use our available capital resources sooner than we currently anticipate.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Candidates and because the extent to which we may enter collaborations with third parties for development of our Candidates is unknown, we are unable to estimate the timing and amounts of increased capital outlays and operating expenses associated with completing the research and development of our Candidates. Our future capital requirements will depend on many factors, including:</w:t>
      </w:r>
    </w:p>
    <w:p>
      <w:pPr>
        <w:spacing w:after="0" w:line="72" w:lineRule="exact"/>
        <w:rPr>
          <w:sz w:val="20"/>
          <w:szCs w:val="20"/>
          <w:color w:val="auto"/>
        </w:rPr>
      </w:pPr>
    </w:p>
    <w:p>
      <w:pPr>
        <w:ind w:left="900" w:right="1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IMPACT DUCHENNE, FALCON and ARTEMIS trials and any future clinical trials of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Candidates receive marketing approval;</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and collateral consequences related thereto.</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supplying, and expect to continue to supply, our ongoing and future preclinical and clinical development programs with drug product produced at a current GMP compliant facility located at one of our CDMOs. We intend to establish the capability and capacity to supply Candidates at commercial scale from multiple sources.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right="20"/>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Candidates or generate revenue from the sale of any products for which we may obtain marketing approval. In addition, our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1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licensing agreements and strategic collaborations with third parties, we may have to relinquish valuable rights to our technology, future revenue streams, research programs, or Candidates or grant licenses on terms that may not be favorable to us. If we are unable to raise additional funds, we may be required to delay, limit, reduce and/or terminate development of our Candidates or any future commercialization efforts or grant rights to develop and market Candidates that we would otherwise prefer to develop and market ourselves.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contractual obligations and commitments from those described in “Management’s Discussion and Analysis of Financial Condition and Results of Operations” in our Annual Report on Form 10-K for the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summary of significant recent accounting pronouncements that we expect to adopt is included in Note 1 – Nature of the Business and Basis of Presentation to our condensed consolidated financial statements (See Part I, Item 1 – Financial Statements,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2026, our cash equivalents consisted of money market funds and treasury bills that have contractual maturities of less than 90 days from the date of acquisition. As of March 31, 2026, our investments consisted of treasury bills and government bonds that have contractual maturities of less than one year.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do not believe that inflation had a material effect on our business, financial condition or results of operations in the last two years. However, our operations may be adversely affected by inflation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March 31, 2026. The term “disclosure controls and procedures,” as defined in Rules 13a-15(e) and 15d-15(e)</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2" w:name="page33"/>
    <w:bookmarkEnd w:id="32"/>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designed and operated, can provide only reasonable, not absolute, assurance that the objectives of the disclosure controls and procedures are met. Additionally, in designing disclosure controls and procedures, our management necessarily applies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 Based on the evaluation of our disclosure controls and procedures as of March 31, 2026, our President and Chief Executive Officer and our Chief Financial Officer concluded that, as of such date, our disclosure controls and procedures were designed and operating effectively.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have occurred during the three months ended March 31, 2026 that have materially affected, or are reasonably likely to materially affect, our internal control over financial reporting.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Quarterly Report on Form 10-Q,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Quarterly Report on Form 10-Q occurs, our business, operating results and financial condition could be seriously harmed and the trading price of our common stock could decline.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operating results and financial condition and the trading price of our common stock could decline. These risks are discussed more fully below. These risks include the following:</w:t>
      </w:r>
    </w:p>
    <w:p>
      <w:pPr>
        <w:spacing w:after="0" w:line="54" w:lineRule="exact"/>
        <w:rPr>
          <w:sz w:val="20"/>
          <w:szCs w:val="20"/>
          <w:color w:val="auto"/>
        </w:rPr>
      </w:pPr>
    </w:p>
    <w:p>
      <w:pPr>
        <w:ind w:left="900" w:right="24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anticipate that we will continue to incur net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do not expect to do so for the foreseeable future, if ever.</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or geopolitical conditions could harm our business, financial condition or results of operations.</w:t>
      </w:r>
    </w:p>
    <w:p>
      <w:pPr>
        <w:spacing w:after="0" w:line="117" w:lineRule="exact"/>
        <w:rPr>
          <w:rFonts w:ascii="Times New Roman" w:cs="Times New Roman" w:eastAsia="Times New Roman" w:hAnsi="Times New Roman"/>
          <w:sz w:val="18"/>
          <w:szCs w:val="18"/>
          <w:color w:val="auto"/>
        </w:rPr>
      </w:pPr>
    </w:p>
    <w:p>
      <w:pPr>
        <w:jc w:val="both"/>
        <w:ind w:left="900" w:right="4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pipeline of gene transfer candidates, which we refer to collectively as our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prior clinical trials had been placed on clinical hold by the FDA in the past, and we cannot guarantee that similar events will not happen in ongoing, planned and future clinical trials for our Candidates.</w:t>
      </w:r>
    </w:p>
    <w:p>
      <w:pPr>
        <w:spacing w:after="0" w:line="12" w:lineRule="exact"/>
        <w:rPr>
          <w:rFonts w:ascii="Times New Roman" w:cs="Times New Roman" w:eastAsia="Times New Roman" w:hAnsi="Times New Roman"/>
          <w:sz w:val="18"/>
          <w:szCs w:val="18"/>
          <w:color w:val="auto"/>
        </w:rPr>
      </w:pPr>
    </w:p>
    <w:p>
      <w:pPr>
        <w:ind w:left="900" w:right="320" w:hanging="383"/>
        <w:spacing w:after="0" w:line="245" w:lineRule="exact"/>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completed a clinical trial and may be unable to do so for any Candidate, including SGT-003,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SGT-501 and other Candidates.</w:t>
      </w:r>
    </w:p>
    <w:p>
      <w:pPr>
        <w:spacing w:after="0" w:line="90" w:lineRule="exact"/>
        <w:rPr>
          <w:rFonts w:ascii="Times New Roman" w:cs="Times New Roman" w:eastAsia="Times New Roman" w:hAnsi="Times New Roman"/>
          <w:sz w:val="18"/>
          <w:szCs w:val="18"/>
          <w:color w:val="auto"/>
        </w:rPr>
      </w:pPr>
    </w:p>
    <w:p>
      <w:pPr>
        <w:ind w:left="900" w:right="200" w:hanging="383"/>
        <w:spacing w:after="0" w:line="261"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Candidates may cause one or more adverse events or other undesirable side effects or have properties that could cause us or regulatory authorities to interrupt, delay or halt clinical trials and could result in a more restrictive label or the delay, denial or withdrawal of regulatory approval by the FDA or other comparable foreign regulatory authorities, limit the Candidates commercial potential or result in significant negative consequences following any potential marketing approval.</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participants in our clinical trials, which could delay or prevent us from proceeding with clinical trials of SGT-003, SGT-212, SGT-501 or our other Candidates.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4" w:name="page35"/>
    <w:bookmarkEnd w:id="34"/>
    <w:p>
      <w:pPr>
        <w:ind w:left="900" w:right="5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our Candidates and the approval may be for a narrower indication than we seek.</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p>
    <w:p>
      <w:pPr>
        <w:spacing w:after="0" w:line="71"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3" w:lineRule="exact"/>
        <w:rPr>
          <w:rFonts w:ascii="Times New Roman" w:cs="Times New Roman" w:eastAsia="Times New Roman" w:hAnsi="Times New Roman"/>
          <w:sz w:val="18"/>
          <w:szCs w:val="18"/>
          <w:color w:val="auto"/>
        </w:rPr>
      </w:pPr>
    </w:p>
    <w:p>
      <w:pPr>
        <w:ind w:left="900" w:right="14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p>
    <w:p>
      <w:pPr>
        <w:spacing w:after="0" w:line="71"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3"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spacing w:after="0" w:line="6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6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in the future is likely to be, volatile and fluctuate substantially, which could result in substantial losses for holders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 Requirements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5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$56.7 million and $39.3 million for the three months ended March 31, 2026 and 2025, respectively. As of March 31, 2026, we had an accumulated deficit of $1.0 billion. Prior to our acquisition of AavantiBio, Inc. in December 2022 (the “Acquisition”) we devoted substantially all of our efforts to research and development, including clinical development of SGT-001, which we are no longer developing, and preclinical development of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 as well as to building out our management team and infrastructure. Following the Acquisition, we have devoted our efforts to the research and development of our other Candidates, including clinical development of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SGT-501, as well as building out our management team. We expect that it could be several years before we have a commercialized product, and we may never have a commercialized product. We expect to incur significant expenses and operating losses for the foreseeable future. We anticipate that our expenses will increase substantially if, and as, we:</w:t>
      </w:r>
    </w:p>
    <w:p>
      <w:pPr>
        <w:spacing w:after="0" w:line="90" w:lineRule="exact"/>
        <w:rPr>
          <w:sz w:val="20"/>
          <w:szCs w:val="20"/>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participants in our INSPIRE DUCHENNE, IMPACT DUCHENNE, FALCON and ARTEMIS trials and advance clinical development of SGT-003, SGT-212 and SGT-501;</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left="900" w:right="4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900" w:right="9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arrange manufacturing for larger quantities of our Candidates for preclinical and clinical development and potential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never achieve or maintain profitability. To become and remain profitable, we must develop and eventually commercialize one or more Candidates with significant market potential. This will require us to be successful in a range of challenging activities, and our expenses will increase substantially as we enroll participants in and conduct the INSPIRE DUCHENNE, IMPACT DUCHENNE, FALCON and ARTEMIS trials and continue to develop our pipeline and complete ongoing and planned preclinical studies and clinical trials of our Candidates, obtain marketing approval for our Candidates, develop adjacent technologies such as assays, develop and validate commercial-scale manufacturing processes, manufacture, market and sell any future Candidates for which we may obtain marketing approval and satisfy any post-marketing requirements. Moreover, the manufacturing process requires materials which may fluctuate in cost or be limited or unavailable to us, as well as relationships with contract development and manufacturing organizations (“CDMOs”) to facilitate the manufacturing process. We may never succeed in any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conduct clinical trials of, and seek marketing approval for our Candidates. In addition, if we obtain marketing approval for our Candidates, we expect to incur significant expenses related to product sales, marketing, manufacturing and distribution. We also expect to continue to incur additional costs associated with operating as a public company. While we believe that our cash, cash equivalents and available-for-sale securities as of March 31, 2026 will be sufficient to fund our operating expenses and capital requirements into the first half of 2028, we have based this estimate on assumptions that may prove to be wrong, and we could use our available capital resources sooner than we currently anticipate. In order to continue to operate our business beyond that time, we will need to raise additional funds. However, there can be no assurance that we will be able to generate funds on terms acceptable to us, on a timely basis, or at all. In addition, we anticipate that we will need additional funding to complete the development of our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1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IMPACT DUCHENNE, FALCON and ARTEMIS trials and any future clinical trials of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future Candidates receive marketing approval;</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and collateral consequences related thereto.</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Identifying potential candidates and conducting preclinical testing and clinical trials is a time-consuming, expensive and uncertain process that takes years to complete, and we may never generate the necessary data or results required to submit a Biologics License Application (“BLA”) or obtain marketing approval and achieve product sales. In addition, our Candidates, if approved, may not achieve commercial success. Our product revenue, if any, will be derived from or based on sales of our Candidates that may not be commercially available for many years, if at all. Accordingly, we will need to continue to rely on additional financing to achieve our business objectives. Adequate additional financing may not be available to us on acceptable terms, or at all, and may be impacted by the economic climate and market conditions. Our ability to raise additional funds may be adversely impacted by general economic conditions, both inside and outside the U.S., including disruptions to, and instability and volatility in, the credit and financial markets in the U.S. and worldwide, heightened inflation, interest rate and currency rate fluctuations, global trade programs, tariffs and economic slowdown or recession as well as concerns related to public health emergencies or pandemics and geopolitical events, including civil or political unrest. In addition, market instability and volatility, high levels of inflation and interest rate fluctuations may increase our cost of financing or restrict our access to potential sources of future liquidity. Alternatively, we may seek additional capital due to favorable market conditions or strategic considerations, even if we believe we have sufficient funds for our current or future operating plans.</w:t>
      </w:r>
    </w:p>
    <w:p>
      <w:pPr>
        <w:spacing w:after="0" w:line="2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Candidates.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Candidates, or grant licenses on terms unfavorable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do not expect to do so for the foreseeable future, if ever.</w:t>
      </w:r>
    </w:p>
    <w:p>
      <w:pPr>
        <w:spacing w:after="0" w:line="121"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17"/>
          <w:szCs w:val="17"/>
          <w:color w:val="auto"/>
        </w:rPr>
        <w:t>Our ability to generate revenue from product sales and achieve profitability depends on our ability, alone or with collaborative partners, to successfully complete the development of, and obtain the regulatory approvals necessary to commercialize our Candidates. We do not anticipate generating revenue from product sales for the foreseeable future, if ever. Our ability to generate future revenue from product sales depends heavily on our success in:</w:t>
      </w:r>
    </w:p>
    <w:p>
      <w:pPr>
        <w:spacing w:after="0" w:line="50"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development of our Candidates in a timely and successful manner;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any of our Candidates for which we complete clinical trials;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Candidates for which we obtain regulatory and marketing approval by establishing a sales force and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a commercially viable, sustainable, scalable, reproducible and transferable manufacturing process for our Candidates that is compliant with Current Good Manufacturing Practices (“cGMPs”);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terms of cost, amount and quality, products and services to support clinical development and the commercial demand for our Candidates, if approved;</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if and when approved, of our Candidates as a viable treatment option by patients, the medical community and third-party payors;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ind w:left="900" w:right="8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coverage and adequate reimbursement by government and third-party payors for our Candidates both in the U.S. and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trademarks, trade secrets and know-how;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intellectual property infringement, misappropriation and other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for our stockholders to evaluate the success of our business to date and to assess our future viability.</w:t>
      </w:r>
    </w:p>
    <w:p>
      <w:pPr>
        <w:spacing w:after="0" w:line="13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business planning, raising capital, acquiring rights to our technology, conducting research and development activities, establishing research and development collaborations, identifying and acquiring Candidates, establishing manufacturing arrangements, undertaking preclinical studies and clinical trials, and licensing of our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capsid. As a company, we have limited experience in clinical development. We have not yet demonstrated the ability to complete clinical trials of any Candidate, obtain marketing approvals, manufacture at commercial-scale or conduct sales and marketing activities necessary for successful commercialization. Consequently, any predictions our stockholders make about our prospects may not be as accurate as they could be if we had a longer operating history or prior experience integrating acquired businesses into our existing business.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geopolitical conditions could harm our business, financial condition or results of operations.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harmed by general conditions in the global economy and in the global financial markets or by geopolitical conditions. A severe or prolonged economic downturn, including the impact of increased interest rates and inflation, and global trade programs and tariffs, could result in a variety of risks to our business, including weakened demand for our Candidates and our ability to raise additional capital when needed on acceptable terms, if at all. A weak or declining economy could strain our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a portion of our cash and cash equivalents that we use to meet our working capital and operating expense needs in deposit accounts that could be adversely affected if the financial institutions holding such funds fail.</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hold a portion of our cash and cash equivalents that we use to meet our working capital and operating expense needs in deposit accounts at multiple financial institutions. The balance held in these accounts may exceed the Federal Deposit Insurance Corporation (“FDIC”) standard deposit insurance limit of $250,000.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including payroll obligations.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example, on March 10, 2023, Silicon Valley Bank (“SVB”) and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and operating expenses were to fail, we cannot provide any assurances that such governmental agencies would take action to protect our uninsured deposits or investments in a similar manner.</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also maintain investment accounts with other financial institutions in which we hold our investments and marketable securities and, if access to the funds we use for working capital and operating expenses is impaired, we may not be able to sell investments or transfer funds from our investment accounts to other operating accounts on a timely basis sufficient to meet our operating expense obligations.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Candidates</w:t>
      </w:r>
    </w:p>
    <w:p>
      <w:pPr>
        <w:spacing w:after="0" w:line="117" w:lineRule="exact"/>
        <w:rPr>
          <w:sz w:val="20"/>
          <w:szCs w:val="20"/>
          <w:color w:val="auto"/>
        </w:rPr>
      </w:pPr>
    </w:p>
    <w:p>
      <w:pPr>
        <w:ind w:right="8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pipeline of gene transfer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future success depends on our successful development of our Candidates. Our risk of failure is high. We had experienced problems and delays in developing SGT-001, which we are no longer developing, and may in the future experience problems or delays in developing our Candidates. Any such problems or delays would cause unanticipated costs, and any development problems may not be solved. For example, we or another party may uncover a previously unknown risk associated with our Candidates, the AAV capsid, construct or other issues resulting in toxicity or lack of efficacy that may be more problematic than we currently believe and this may prolong the period of observation required for obtaining, or result in the failure to obtain, regulatory approval or may necessitate additional clinical testing.</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our ability to conduct and complete our preclinical development testing and studies is contingent on our ability to source animals and other supplies required for the conduct of such testing and studies and the performance of animal models. If we are unable to obtain all necessary animals and other supplies required for the conduct of our preclinical testing and studies, or the animal models do not perform as expected, we may be unable to complete such preclinical development testing and studies in a timely manner or at all. For example, some of our IND-enabling toxicology and other studies require certain NHPs that may be imported from countries in which trade relation with the U.S. are or may become challenging or through vendors who may not be able to timely source certain NHPs or at all, which may impair our ability to complete preclinical development testing and studies to support IND or similar applications or delay submission of such applications. Additionally, we may fail to demonstrate adequate Candidate efficacy and/or safety as required by regulatory authorities. We may fail to access relevant, adequate, or necessary animal models, including genetic models of disease and non-human primates in particular, for use in such studies as requested by regulatory authorities. We may also experience substantial delays as a result of our reliance on contract research organizations (“CROs”) to conduct all animal model experimentation necessary to assess the efficacy and safety of our Candidates. Any of these factors may result in delays to Candidate progression, inability to obtain regulatory approval, and/or substantial increases in Candidate development costs.</w:t>
      </w:r>
    </w:p>
    <w:p>
      <w:pPr>
        <w:spacing w:after="0" w:line="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product specifications and the clinical trial requirements of the FDA, the European Commission, the European Medicines Agency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a limited number of gene transfer products have been approved for commercialization in the United States and the European Union. As a result, it is difficult to determine how long it will take or how much it will cost to obtain regulatory approvals for our gene transfer Candidates in either the United States or the European Union, if at all. Approvals by the European Commission may not be indicative of what the FDA may require for approval and vice versa.</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Candidates may cause undesirable side effects or have other properties that could delay or prevent their clinical development, regulatory approval, limit their commercial potential or result in significant negative consequences following any potential marketing approval.</w:t>
      </w:r>
    </w:p>
    <w:p>
      <w:pPr>
        <w:spacing w:after="0" w:line="51"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During the conduct of clinical trials, participants may experience changes in their health, including illnesses, injuries, discomforts or a fatal outcome. Often, it is not possible to determine whether the Candidate being studied caused these conditions. For instance, we reported a serious adverse event in IGNITE DMD, which resulted in a clinical hold in November 2019, which has since been resolved. In April 2021, a participant treated with SGT-001 in IGNITE DMD experienced a systemic inflammatory response classified as a serious adverse event and considered by the investigator to be drug related. In addition, there has been one previously disclosed treatment-related serious adverse event in the INSPIRE DUCHENNE trial as of May 11, 2026, identified as a Grade 3 immune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mediated myositis.</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it is possible that as we test Candidates in larger, longer and more extensive clinical programs, or as use of these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trials or, in some cases, after they are made available to patients on a commercial scale after approval. If additional clinical experience indicates that a Candidate has side effects or causes serious or life-threatening side effects, the development of the Candidate may fail or be delayed, or, if the Candidate has received regulatory approval, such approval may be withdrawn.</w:t>
      </w:r>
    </w:p>
    <w:p>
      <w:pPr>
        <w:spacing w:after="0" w:line="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reported cases of leukemia and death seen in other clinical trials. The FDA convened the Cellular, Tissue, and Gene Therapies Advisory Committee in September 2021 to discuss toxicity risks of AAV based gene therapy products and discussed risks including oncogenicity risks due to capsid genome integration, hepatotoxicity, thrombotic microangiopathy, and neurotoxicity (especially related to dorsal root ganglion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9" w:name="page40"/>
    <w:bookmarkEnd w:id="39"/>
    <w:p>
      <w:pPr>
        <w:ind w:right="20"/>
        <w:spacing w:after="0" w:line="218" w:lineRule="exact"/>
        <w:rPr>
          <w:sz w:val="20"/>
          <w:szCs w:val="20"/>
          <w:color w:val="auto"/>
        </w:rPr>
      </w:pPr>
      <w:r>
        <w:rPr>
          <w:rFonts w:ascii="Times New Roman" w:cs="Times New Roman" w:eastAsia="Times New Roman" w:hAnsi="Times New Roman"/>
          <w:sz w:val="18"/>
          <w:szCs w:val="18"/>
          <w:color w:val="auto"/>
        </w:rPr>
        <w:t>toxicity). While new recombinant capsids have been developed with the intent to reduce these side effects, gene therapy is still a relatively new approach to disease treatment and additional adverse side effects could develop. There have been reports of significant adverse side effects, including muscle weakness, myocarditis, and acute liver injury, in clinical trials of other gene therapy treatments for Duchenne that may be related to the type and location of the specific gene mutation causing the disease. In another gene therapy treatment, there have been reports of AAV mediated acute liver failure leading to death in non-ambulatory boys with Duchenne in the setting of commercially available product.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capsids for gene therapy, some subjects experienced the development of a positive ELISPOT test associated with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responses, which is of unclear clinical translatability. If T-cells are activated, the cellular immune response system may trigger the removal of transduced cells. If our gene transfer Candidates demonstrate a similar effect or other undesirable side effects, we may decide or be required to halt or delay further clinical development of our Candidates involving AAV capsids for gene therapy.</w:t>
      </w:r>
    </w:p>
    <w:p>
      <w:pPr>
        <w:spacing w:after="0" w:line="9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Adverse side effects may be observed following administration of any AAV gene therapy, including SGT-003 or other Candidates. Not all contemplated AAV delivery systems have been validated in human clinical trials previously, such as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a novel capsid. If a delivery system does not meet the safety criteria or cannot provide the desired efficacy results, then we may be forced to suspend or terminate our development of SGT-003 or other Candidates. If certain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SGT-003 or other Candidates for any or all targeted indications. Even if we are able to demonstrate that any serious adverse events are not product-related, such occurrences could affect participant recruitment or the ability of enrolled participants to complete the clinical trial. Participants will also create antibodies to the AAV capsid and a second administration of gene transfer might not be safe or successful.</w:t>
      </w:r>
    </w:p>
    <w:p>
      <w:pPr>
        <w:spacing w:after="0" w:line="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if one or more of our Candidates receive marketing approval, the FDA could require us to adopt a Risk Evaluation and Mitigation Strategy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our Candidates, several potentially significant negative consequences could result, including:</w:t>
      </w:r>
    </w:p>
    <w:p>
      <w:pPr>
        <w:spacing w:after="0" w:line="72"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Candidate;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prior clinical trials had been placed on clinical hold by the FDA in the past, and we cannot guarantee that similar events will not happen in ongoing, planned and future clinical trials for our Candidates.</w:t>
      </w:r>
    </w:p>
    <w:p>
      <w:pPr>
        <w:spacing w:after="0" w:line="5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November 2019, the FDA placed a clinical hold on our clinical trial of SGT-001 following a serious adverse event in IGNITE DMD. The third participant in the 2E14 vg/kg cohort of IGNITE DMD, dosed in late October 2019, experienced a serious adverse event deemed related to the study drug that was characterized by complement activation, thrombocytopenia, decrease in red blood cell count, acute kidney injury, and cardio-pulmonary insufficiency. In April 2021, an eighth participant was treated with SGT-001. The participant experienced a systemic inflammatory response which has since fully resolved. The event was classified as a serious adverse event and considered by the investigator to be drug related. While SGT-003 utilizes POLARIS-101</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 a different capsid than was utilized in SGT-001, and includes other changes to the construct and manufacturing process to help avoid or mitigate any such events, we cannot guarantee that similar serious adverse events or clinical holds will not happen in ongoing and future clinical trials of SGT-003. We also cannot guarantee that similar serious adverse events or clinical holds will not happen in planned and future clinical trials of any of our other Candidates.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Delays in the completion of, or our inability to conduct, any clinical trial of SGT-003 or any other Candidate, as a result of similar serious adverse events or clinical holds or otherwise, will increase our costs, slow down or cease our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SGT-003 or other Candidates.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completed a clinical trial and may be unable to do so for any Candidate, including SGT-003, SGT-212, SGT-501 and other Candidates.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never completed a clinical trial. We are conducting our INSPIRE DUCHENNE trial of SGT-003, our IMPACT DUCHENNE trial of SGT-003, our FALCON trial of SGT-212 and our ARTEMIS trial of SGT-501. Our other current Candidates are still in the preclinical and discovery stages of development. Preclinical studies involve a lengthy and expensive process with an uncertain outcome. There are many potential preclinical models to test for different disease states, and we could fail to choose the best or a predictive preclinical model to determine proof of concept and potential safety and efficacy of our Candidates. We may decide to suspend further testing on our Candidates or technologies if, in the judgment of our management and advisors, the preclinical test results do not support further development.</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need to successfully initiate our planned clinical trials and complete our ongoing clinical trials in order to obtain FDA approval to market SGT-003, SGT-212, SGT-501 and other Candidates. We have limited experience in preparing, submitting and prosecuting regulatory submissions, and have not previously submitted a BLA for any Candidate. We cannot be sure that submission of an IND will result in the FDA allowing clinical trials to begin or to begin as proposed, or that, once begun, issues will not arise that suspend or terminate such clinical trials. Carrying out later-stage clinical trials and the submission of a successful BLA is a complicated process. This may be particularly true for design of a pivotal trial for the treatment of Duchenne as the FDA has not given clear guidance as to the necessary endpoints for approval of a treatment for Duchenne. In addition, we cannot be certain how many clinical trials of SGT-003, SGT-212, SGT-501 or other Candidates will be required or how such trials should be designed. Consequently, we may be unable to successfully and efficiently execute and complete necessary clinical trials in a way that leads to BLA submission and approval of SGT-003, SGT-212, SGT-501 or other Candidates. We may require more time and incur greater costs than our competitors and may not succeed in obtaining regulatory approvals of Candidates that we develop. Failure to commence or complete, or delays in, clinical trials could prevent us from or delay us in commercializing SGT-003, SGT-212, SGT-501 and other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results from future clinical trials and are not necessarily indicative of final results. Our preclinical studies for certain Candidates in animals have been limited.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studies and clinical trials are subject to varying interpretations, which may delay, limit or prevent regulatory approval. We also may experience regulatory delays or rejections as a result of many factors, including due to changes in regulatory policy during the period of our Candidate development. Our Candidates may fail to show the desired safety and efficacy in clinical development despite positive results in preclinical studies. This failure could cause us to abandon any of our Candidates.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we may announce or publish preliminary or interim data from clinical trials. Positive preliminary or interim data may not be predictive of such trial’s subsequent or overall results. Preliminary or interim data are subject to the risk that one or more of the outcomes may materially change as more data becomes available. Additionally, preliminary or interim data are subject to the risk that one or more of the biologic or clinical outcomes may materially change as participant enrollment continues and more participant data becomes available. Therefore, positive preliminary or interim data in any ongoing clinical trial, including the INSPIRE DUCHENNE trial, may not be predictive of such results in the completed trial. We also make assumptions, estimations, calculations and conclusions as part of our analyses of data, and we may not have received or had the opportunity to fully evaluate all data. As a result, preliminary or interim data that we report may differ from future results from the clinical trials,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or interim data we previously published. As a result, preliminary or interim data should be viewed with caution until the final data are available. Material adverse changes in the final data compared to preliminary or interim data could significantly harm our business prospects.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Candidates, we must conduct extensive clinical trials to demonstrate the safety and efficacy of the Candidate for its intended indications. Clinical testing is expensive, time consuming and uncertain as to outcome. We cannot guarantee that any clinical trials will be conducted as planned or completed on schedule, if at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ind w:right="900"/>
        <w:spacing w:after="0" w:line="282" w:lineRule="auto"/>
        <w:rPr>
          <w:sz w:val="20"/>
          <w:szCs w:val="20"/>
          <w:color w:val="auto"/>
        </w:rPr>
      </w:pPr>
      <w:r>
        <w:rPr>
          <w:rFonts w:ascii="Times New Roman" w:cs="Times New Roman" w:eastAsia="Times New Roman" w:hAnsi="Times New Roman"/>
          <w:sz w:val="18"/>
          <w:szCs w:val="18"/>
          <w:color w:val="auto"/>
        </w:rPr>
        <w:t>all. A failure of one or more clinical trials can occur at any stage of testing. Events that may prevent successful or timely completion of clinical development include:</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animals in sufficient quantities to run our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appropriate external parties on dose escalation;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participants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or independent ethics committee approval at each clinical trial site;</w:t>
      </w:r>
    </w:p>
    <w:p>
      <w:pPr>
        <w:spacing w:after="0" w:line="53" w:lineRule="exact"/>
        <w:rPr>
          <w:rFonts w:ascii="Times New Roman" w:cs="Times New Roman" w:eastAsia="Times New Roman" w:hAnsi="Times New Roman"/>
          <w:sz w:val="18"/>
          <w:szCs w:val="18"/>
          <w:color w:val="auto"/>
        </w:rPr>
      </w:pPr>
    </w:p>
    <w:p>
      <w:pPr>
        <w:jc w:val="both"/>
        <w:ind w:left="900" w:right="1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subjects to participate in our clinical trials, including because such trials have restrictive eligibility criteria or may be placebo-controlled trials and participants are not guaranteed to receive treatment with our Candidates, or as a result of alternative therapies or competing trials;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finding suitable animal models to demonstrate a disease specific phenotype;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FDA good clinical practices (“GCPs”) or applicable regulatory guidelines in the European Union and other countries;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Candidates to the clinical sites, including delays by third parties with whom we have contracted to perform certain of those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subjects completing participation in a trial or returning for post-treatment follow-up;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subjects dropping out of a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trial sites or manufacturing facilities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public health emergencies or pandemics or other global instability;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if the results of any clinical trials are inconclusive or if there are safety concerns or serious adverse events associated with our Candidates, we may:</w:t>
      </w:r>
    </w:p>
    <w:p>
      <w:pPr>
        <w:spacing w:after="0" w:line="54"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 or halt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fail in obtaining marketing approval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our products, if approved, are administered;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and held liable for harm caused to participants;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2" w:name="page43"/>
    <w:bookmarkEnd w:id="42"/>
    <w:p>
      <w:pPr>
        <w:ind w:right="12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testing or marketing approvals. In addition, if we make manufacturing or other changes to our Candidates, we may need to conduct additional studies to bridge our modified Candidates to earlier versions. We do not know whether any of our preclinical studies or clinical trials will begin as planned, will need to be restructured or will be completed on schedule, or at all. We may also determine to change the design or protocol of one or more of our clinical trials, which we have done in the past and which could result in delays. Significant preclinical study or clinical trial delays also could shorten any periods during which we may have the exclusive right to commercialize our Candidates or allow our competitors to bring products to market before we do and impair our ability to successfully commercialize our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third-party clinical trial vendors fail to comply with strict regulations, any clinical trials for our Candidates may be delayed or unsuccessful.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have the personnel capacity to conduct or manage the clinical trials that will be necessary for the development of our Candidates. We are relying on third parties to manage, monitor and conduct our INSPIRE DUCHENNE, IMPACT DUCHENNE, FALCON and ARTEMIS trials and we expect we will rely, on third parties to assist us in managing, monitoring and conducting any planned or future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clinical trials for SGT-003, SGT-212, SGT-501 or other Candidates may be delayed or unsuccessful.</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participants in our clinical trials, which could delay or prevent us from proceeding with clinical trials of SGT-003, SGT-212, SGT-501 or our other Candidates.</w:t>
      </w:r>
    </w:p>
    <w:p>
      <w:pPr>
        <w:spacing w:after="0" w:line="5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Identifying and qualifying participants to participate in any clinical trials of SGT-003, SGT-212, SGT-501 and our other Candidates are critical to our success. Because of our primary focus on rare diseases, we may have difficulty enrolling a sufficient number of eligible participants. The timing of any clinical trials depends on our ability to recruit participants to participate as well as complete required follow-up periods. If participants are unwilling or unable to participate in our gene therapy clinical trials, including because of negative publicity from adverse events related to our Candidates, other approved therapies, or due to competitive clinical trials or approvals for similar participant populations, clinical trials in products employing our capsid or our platform or for other reasons, the timeline for recruiting participants, conducting clinical trials and obtaining regulatory approval of SGT-003, SGT-212, SGT-501 or other Candidates may be delayed. We may also experience delays if participants withdraw from the clinical trial or do not complete the required monitoring period. Furthermore, we may face difficulties in recruiting participants to enroll in, or once enrolled, retaining participants in future clinical trials if they or their caretakers are affected by public health emergencies or pandemics or are fearful of traveling to, or are unable to travel to, our clinical trial sites because of public health emergencies or pandemics or other unforeseen events. These delays could result in increased costs, delays in advancing SGT-003, SGT-212, SGT-501 or other Candidates, delays in testing the effectiveness of our Candidates or termination of clinical trials altogether.</w:t>
      </w:r>
    </w:p>
    <w:p>
      <w:pPr>
        <w:spacing w:after="0" w:line="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participants, or those with required or desired characteristics, to complete any clinical trials in a timely manner. Participant enrollment and trial completion is affected by many factors, including:</w:t>
      </w:r>
    </w:p>
    <w:p>
      <w:pPr>
        <w:spacing w:after="0" w:line="54"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participant population and the process for identifying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including age, size and functional ability and pre-existing antibodies to AAV capsids that preclude subjects from being able to receive AAV-mediated gene transfer;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and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Candidate under study;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therapy-based approaches to the treatment of diseases;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disclosure of data from our completed or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pivotal trials, the risk that participants may opt not to enroll because they are not assured treatment with our Candidate.</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participant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the President earlier in January 2025 on Diversity, Equity and Inclusion programs, the FDA removed the draft DAP guidance from its website. That action, along with similar actions by the current U.S. presidential administration to remove many other healthcare webpages, is currently the subject of ongoing litigation.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plan to conduct clinical trials, including the INSPIRE DUCHENNE, IMPACT DUCHENNE and ARTEMIS trials, with one or more trial sites that are located outside the United States. Although the FDA may accept data from clinical trials conducted at sites outside the United States, acceptance of these data is subject to conditions imposed by the FDA. For example, where data from foreign clinical trial sites are not intended to serve as the sole basis for approval in the United States, the FDA will not accept the data as support for a marketing application unless the clinical trial was well designed and conducted in accordance with GCP requirements. The FDA must also be able to validate the data from the trial through an onsite inspection, if necessary. Where data from foreign clinical trial sites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these clinical trials are subject to the applicable local laws of the jurisdictions where the trials are conducted.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conducting clinical trials outside the United States could have a significant adverse impact on us. Risks inherent in conducting international clinical trials include:</w:t>
      </w:r>
    </w:p>
    <w:p>
      <w:pPr>
        <w:spacing w:after="0" w:line="54" w:lineRule="exact"/>
        <w:rPr>
          <w:sz w:val="20"/>
          <w:szCs w:val="20"/>
          <w:color w:val="auto"/>
        </w:rPr>
      </w:pPr>
    </w:p>
    <w:p>
      <w:pPr>
        <w:ind w:left="900" w:hanging="368"/>
        <w:spacing w:after="0"/>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resulting from geopolitical events, such as wars.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EU Clinical Trials Regulation (“CTR”) which was adopted in April 2014 and repeals the EU Clinical Trials Directive, became applicable on January 31, 2022. The CTR aims to simplify and streamline the authorization, conduct and transparency of clinical trials in the European Union. We have only recently secured authorization to conduct clinical trials in the European Union pursuant to the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4" w:name="page45"/>
    <w:bookmarkEnd w:id="44"/>
    <w:p>
      <w:pPr>
        <w:ind w:right="400"/>
        <w:spacing w:after="0" w:line="282" w:lineRule="auto"/>
        <w:rPr>
          <w:sz w:val="20"/>
          <w:szCs w:val="20"/>
          <w:color w:val="auto"/>
        </w:rPr>
      </w:pPr>
      <w:r>
        <w:rPr>
          <w:rFonts w:ascii="Times New Roman" w:cs="Times New Roman" w:eastAsia="Times New Roman" w:hAnsi="Times New Roman"/>
          <w:sz w:val="18"/>
          <w:szCs w:val="18"/>
          <w:color w:val="auto"/>
        </w:rPr>
        <w:t>CTR and, accordingly, there is a risk that we may be delayed in commencing any such studies. If we are slow or unable to adapt to changes in existing requirements or the adoption of new requirements or policies governing clinical trials, our development plans may be impacted.</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our Candidates and the approval may be for a narrower indication than we seek.</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cannot commercialize our Candidates until the appropriate regulatory authorities have reviewed and approved the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Further, under the Pediatric Research Equity Act of 2003,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Paediatric Committee of the EMA or to obtain a waiver or deferral from the conduct of these studies by this Committee. For any of our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 invalidation of the marketing application, and/or financial penalties. Our collaborators are also subject to similar requirements outside of the United States and the European Union and thus the attendant risks and uncertainties.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we receive regulatory approval, regulatory authorities may approve a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Candidates. Any of the foregoing scenarios could materially harm the commercial prospects for our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Candidate, our Candidates will remain subject to regulatory oversight.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Even if we obtain any regulatory approval for any of our Candidates, we will be subject to ongoing regulatory requirements for manufacturing, labeling, packaging, storage, advertising, promotion, sampling, record-keeping and submission of safety and other post-market information. Any regulatory approvals that we receive for our Candidates may also be subject to a REMS, limitations on the approved indicated uses for which the product may be marketed or conditions of approval, or requirements for potentially costly post-marketing testing and surveillance to monitor the safety, purity, and potency of the biologic product.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5540" w:right="3400" w:hanging="5023"/>
        <w:spacing w:after="0" w:line="407" w:lineRule="auto"/>
        <w:tabs>
          <w:tab w:leader="none" w:pos="8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filed an amended complaint in the U.S. District Court for the Northern District of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federal District Court in the Eastern District of Missouri. Depending on the outcome of this litigation our ability to develop new drug Candidates and to maintain approval of existing drug products could be delayed, undermined or subject to protracted litigation.</w:t>
      </w:r>
    </w:p>
    <w:p>
      <w:pPr>
        <w:spacing w:after="0" w:line="84"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Further, similar restrictions apply to approved products in the European Union.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 Member State laws.</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Accordingly, assuming we, or our collaborators, receive marketing approval for one or more of our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8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Medicines and Healthcare products Regulatory Agency (“MHRA”), and other government agencies. In September 2021, the FDA published final regulations which describe the types of evidence that the agency will consider in determining the intended use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t>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v. Raimondo</w:t>
      </w:r>
      <w:r>
        <w:rPr>
          <w:rFonts w:ascii="Times New Roman" w:cs="Times New Roman" w:eastAsia="Times New Roman" w:hAnsi="Times New Roman"/>
          <w:sz w:val="18"/>
          <w:szCs w:val="18"/>
          <w:color w:val="auto"/>
        </w:rPr>
        <w:t>, for example, the court overruled</w:t>
      </w:r>
      <w:r>
        <w:rPr>
          <w:rFonts w:ascii="Times New Roman" w:cs="Times New Roman" w:eastAsia="Times New Roman" w:hAnsi="Times New Roman"/>
          <w:sz w:val="18"/>
          <w:szCs w:val="18"/>
          <w:i w:val="1"/>
          <w:iCs w:val="1"/>
          <w:color w:val="auto"/>
        </w:rPr>
        <w:t xml:space="preserve"> Chevron U.S.A., Inc. v. Natural Resources Defense Council, Inc</w:t>
      </w:r>
      <w:r>
        <w:rPr>
          <w:rFonts w:ascii="Times New Roman" w:cs="Times New Roman" w:eastAsia="Times New Roman" w:hAnsi="Times New Roman"/>
          <w:sz w:val="18"/>
          <w:szCs w:val="18"/>
          <w:color w:val="auto"/>
        </w:rPr>
        <w:t>., which for 40 years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the FDA, acted within its statutory authority under the Administrative Procedure Act (the “APA”). Additionally, in </w:t>
      </w:r>
      <w:r>
        <w:rPr>
          <w:rFonts w:ascii="Times New Roman" w:cs="Times New Roman" w:eastAsia="Times New Roman" w:hAnsi="Times New Roman"/>
          <w:sz w:val="18"/>
          <w:szCs w:val="18"/>
          <w:i w:val="1"/>
          <w:iCs w:val="1"/>
          <w:color w:val="auto"/>
        </w:rPr>
        <w:t>Corner Post, Inc. v. Board of Governors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Federal Reserve System</w:t>
      </w:r>
      <w:r>
        <w:rPr>
          <w:rFonts w:ascii="Times New Roman" w:cs="Times New Roman" w:eastAsia="Times New Roman" w:hAnsi="Times New Roman"/>
          <w:sz w:val="18"/>
          <w:szCs w:val="18"/>
          <w:color w:val="auto"/>
        </w:rPr>
        <w:t>, the court held that actions to challenge a federal regulation under the APA can be initiated within six years of the date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Centers for Medicare &amp; Medicaid Services (the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(“HHS”), the FDA, the Federal Trade Commission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of one or more of our Candidates from the FDA, we may never obtain approval for our Candidates outside of the United States, which would limit our market opportunities and adversely affect our business.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Even if we receive FDA approval of one or more of our Candidates in the United States, approval of a Candidate in the United States by the FDA does not ensure approval of such Candidate by regulatory authorities in other countries or jurisdictions, and approval by one foreign regulatory authority does not ensure approval by regulatory authorities in other foreign countries or by the FDA. Future sales of our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If we submit a marketing authorization application (“MAA”) to the EMA for approval 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100"/>
        <w:spacing w:after="0" w:line="258" w:lineRule="auto"/>
        <w:rPr>
          <w:sz w:val="20"/>
          <w:szCs w:val="20"/>
          <w:color w:val="auto"/>
        </w:rPr>
      </w:pPr>
      <w:r>
        <w:rPr>
          <w:rFonts w:ascii="Times New Roman" w:cs="Times New Roman" w:eastAsia="Times New Roman" w:hAnsi="Times New Roman"/>
          <w:sz w:val="18"/>
          <w:szCs w:val="18"/>
          <w:color w:val="auto"/>
        </w:rPr>
        <w:t>SGT-003, SGT-212, SGT-501 or other Candidates in the European Union,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Candidates in certain countries.</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our Candidates may be withdrawn. If we fail to comply with the regulatory requirements, our target market will be reduced, and our ability to realize the full market potential of our Candidates will be harmed.</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MHRA is responsible for approving all medicinal products destined for the UK market (i.e., Great Britain and Northern Ireland), and the EMA will no longer have any role in approving medicinal products destined for Northern Ireland. On April 28, 2025, the United Kingdom Parliament adopted amendments to improve and strengthen the United Kingdom’s clinical trials regulatory regime, which are scheduled to take effect on April 28, 2026. Any delay in obtaining, or an inability to obtain, any marketing authorizations, as a result of Brexit or otherwise, may force us to restrict or delay efforts to seek regulatory approval in the United Kingdom for our Candidates, which could significantly and materially harm our business.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(including potentially reducing the duration of regulatory data protection, revising the eligibility for expedited pathways, etc.) was published on April 26, 2023, with several amendments requested in April 2024. In December 2025, the European Parliament and European Council reached a provisional political agreement on the revision of EU pharmaceutical legislation, which is expected to be adopted by mid-2026. Key changes include updating regulatory data exclusivity to a new system with a regulatory data protection period of eight years and a reduced market exclusivity period of one year (which can be extended if specific conditions are fulfilled), adding launch/supply obligations, incentivizing antibiotic innovation with transferable vouchers, and streamlining approval procedures in the EU. If the legislation is finalized in line with the provisional political agreement, it will have a significant impact on the pharmaceutical industry.</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and international trade policies, particularly with respect to China, may adversely impact our business and operating results.</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2025, the Trump Administration imposed a series of tariffs against U.S. trading partners pursuant to the International Emergency Economic Powers Act. On February 20, 2026, the U.S. Supreme Court ruled these tariffs unlawful. The Trump Administration immediately imposed new global tariffs pursuant to Section 122 of the Trade Act of 1974, which allows for tariffs of up to 15% for a period of up to 150 days.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Separately, in April 2025, the Department of Commerce announced an investigation under Section 232 of the Trade Expansion Act of 1962 into imports of pharmaceuticals and pharmaceutical ingredients, including finished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Thereafter, President Trump delayed the October 1, 2025 effective date of the tariffs on branded or patented pharmaceutical products announcing that the Trump Administration had now “begun preparing” tariffs on manufacturers that do not build in the United States or enter into a most-favored-nation drug pricing agreement with the Trump Administration. A host of other U.S. tariff actions remain possible, including additional 25% tariffs on products from countries that do certain business with Iran or Cuba.</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8" w:name="page49"/>
    <w:bookmarkEnd w:id="48"/>
    <w:p>
      <w:pPr>
        <w:ind w:right="240"/>
        <w:spacing w:after="0" w:line="282" w:lineRule="auto"/>
        <w:rPr>
          <w:sz w:val="20"/>
          <w:szCs w:val="20"/>
          <w:color w:val="auto"/>
        </w:rPr>
      </w:pPr>
      <w:r>
        <w:rPr>
          <w:rFonts w:ascii="Times New Roman" w:cs="Times New Roman" w:eastAsia="Times New Roman" w:hAnsi="Times New Roman"/>
          <w:sz w:val="18"/>
          <w:szCs w:val="18"/>
          <w:color w:val="auto"/>
        </w:rPr>
        <w:t>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export controls, capital controls or tariffs, may increase the cost of manufacturing our product candidates and platform materials, affect the demand for our product candidates (if and once approved), the competitive position of our product candidates, and import or export of raw materials and finished product candidates used in our preclinical studies and clinical trials. We cannot yet predict the effect of the recently imposed U.S. tariffs on imports, or the extent to which other countries, in particular, China, will impose and maintain quotas, duties, tariffs, taxes or other similar restrictions upon imports or exports in the future, nor can we predict future trade policy or the terms of any renegotiated trade agreements and their impact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 therapy products are periodically updated and may continue to change in the future.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Regulatory requirements governing gene therapy products have changed frequently and will likely continue to change in the future. Moreover, there is substantial, and sometimes uncoordinated, overlap in those responsible for regulation of gene therapy products. For example, in the United States, the FDA has established the Office of Therapeutic Products within the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4" w:lineRule="exact"/>
        <w:rPr>
          <w:sz w:val="20"/>
          <w:szCs w:val="20"/>
          <w:color w:val="auto"/>
        </w:rPr>
      </w:pPr>
    </w:p>
    <w:p>
      <w:pPr>
        <w:ind w:right="100"/>
        <w:spacing w:after="0" w:line="218" w:lineRule="exact"/>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adverse events for up to a 5-year period. Other types of gene therapy or gene editing products may require longer follow up, potentially up to a maximum 15-year period.</w:t>
      </w:r>
    </w:p>
    <w:p>
      <w:pPr>
        <w:spacing w:after="0" w:line="9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Similarly, the EMA may issue new guidelines concerning the development and marketing authorization for gene therapy products and require that we comply with these new guidelines. The grant of marketing authorization in the European Union for gene therapy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Finally,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Candidates are unsafe or pose a hazard could prevent us from commercializing any products. New government requirements may be established that could delay or prevent regulatory approval of our Candidates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we advance our Candidates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9" w:name="page50"/>
    <w:bookmarkEnd w:id="49"/>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Candidates, and even if we do, that exclusivity may not prevent the FDA or the EMA from approving other competing products.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 similar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FDA has granted orphan drug designation to SGT-003 for the treatment of Duchenne, SGT-212 for the treatment of FA and to SGT-501 for the treatment of CPVT.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orphan drug exclusivity is sought does not meet this standard. Even if we obtain orphan drug exclusivity for a product, that exclusivity may not effectively protect the product from competition because different products can be approved for the same condition.</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FDA September 2021 guidance for interpreting sameness of gene therapy products under the orphan drug regulations, even after an orphan drug is approved, the FDA can subsequently approve a similar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FDA Reauthorization Act of 2017 (“FDARA”) requires that a drug sponsor demonstrate the clinical superiority of an orphan drug that is otherwise the same as a previously approved drug for the same rare disease in order to receive orphan drug exclusivity. FDARA reverses prior precedent holding that the Orphan Drug Act unambiguously requires that the FDA recognize the orphan exclusivity period regardless of a showing of clinical superiority.</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that orphan drug exclusivity applies to the entire designated disease or condition rather than the “indication or use.” Although there have been legislative proposals to overrule this decision, they have not been enacted into law. In January 2023, the FDA announced that, in matters beyond the scope of that court order,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or Congress may make to its orphan drug regulations and policies, our business could be adversely impacted.</w:t>
      </w:r>
    </w:p>
    <w:p>
      <w:pPr>
        <w:spacing w:after="0" w:line="2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breakthrough therapy designation for one or more of our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Candidates; however, we cannot assure our stockholders that one or more of our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participants placed in ineffective control regimens. Therapies designated as breakthrough therapies by the FDA may also be eligible for priority review if supported by clinical data at the time the BLA is submitted to the FDA.</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Candidates meets the criteria for designation as a breakthrough therapy, the FDA may disagree and instead determine not to make such designation. Even if we receive breakthrough therapy designation, the receipt of such designation for a Candidate may not result in a faster development or regulatory review or approval process compared to drugs considered for approval under conventional FDA procedures and does not assure ultimate approval by the FDA. In addition, even if one or more of our Candidates qualifies as a</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0" w:name="page51"/>
    <w:bookmarkEnd w:id="50"/>
    <w:p>
      <w:pPr>
        <w:ind w:right="100"/>
        <w:spacing w:after="0" w:line="282" w:lineRule="auto"/>
        <w:rPr>
          <w:sz w:val="20"/>
          <w:szCs w:val="20"/>
          <w:color w:val="auto"/>
        </w:rPr>
      </w:pPr>
      <w:r>
        <w:rPr>
          <w:rFonts w:ascii="Times New Roman" w:cs="Times New Roman" w:eastAsia="Times New Roman" w:hAnsi="Times New Roman"/>
          <w:sz w:val="18"/>
          <w:szCs w:val="18"/>
          <w:color w:val="auto"/>
        </w:rPr>
        <w:t>breakthrough therapy, the FDA may later decide that the Candidate no longer meets the conditions for qualification or decide that the time period for FDA review or approval will not be shortened.</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one or more of our Candidates, may not lead to a faster development or regulatory review or approval process and it does not increase the likelihood that our Candidates will receive marketing approval.</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may seek approval of one or more of our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or intermediate endpoint that is reasonably likely to predict clinical benefit or on a clinical endpoint that can be measured earlier than irreversible morbidity or mortality (“IMM”) that is reasonably likely to predict an effect on IMM or other clinical benefit. The FDA or other applicable regulatory agency makes the determination regarding whether a surrogate or intermediate endpoint is reasonably likely to predict long-term clinical benefit. Given that expression of microdystrophin has only been established to predict long-term clinical benefit in one other regulatory approval, it is possible the FDA and/or other applicable regulatory agencies could decide not to accept it as a surrogate endpoint for the accelerated approval pathway for SGT-003's treatment of Duchenne, either alone or with additional functional data.</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condition of approval, the FDA may require that a sponsor of a drug or biologic product candidate receiving accelerated approval perform adequate and well-controlled post-marketing clinical trials. These confirmatory trials must be completed with due diligence and may be required to be initiated prior to submission of the BLA. In addition, the FDA currently requires as a condition for accelerated approval pre-approval of promotional materials, which could adversely impact the timing of the commercial launch of the product. Further,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after the confirmatory trial fails to verify the product’s clinical benefit.</w:t>
      </w:r>
    </w:p>
    <w:p>
      <w:pPr>
        <w:spacing w:after="0" w:line="8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FDA or comparable foreign regulatory agencies will agree with our surrogate endpoints or intermediate clinical endpoints in any of our clinical trials, or that we will decide to pursue or submit any additional application for accelerated approval or any other form of expedited development, review or approval. Similarly, there can be no assurance that, after feedback from the FDA or comparable foreign regulatory agencies, we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Candidates, or withdrawal of a Candidate, would result in a longer time period until commercialization of such Candidate, could increase the cost of development of such Candidate and could harm our competitive position in the marketplace.</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potential regenerative medicine advanced therapy designation by the FDA for our Candidates may not lead to a faster development or regulatory review or approval process, and it does not increase the likelihood that our Candidates will receive marketing approval.</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may seek a regenerative medicine advanced therapy designation for some of our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participants treated with such therapy prior to its approval.</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Designation as a regenerative medicine advanced therapy is within the discretion of the FDA. Accordingly, even if we believe one of our Candidates meets the criteria for designation as a regenerative medicine advanced therapy, the FDA may disagree and instead determine not to make such designation. In any event, the receipt of a regenerative medicine advanced therapy designation for a Candidate may not result in a faster development process, review or approval compared to drugs considered for approval under conventional FDA procedures and does not assure ultimate approval by the FDA. In addition, even if one or more of our Candidates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qualify as regenerative medicine advanced therapies, the FDA may later decide that the biological products no longer meet the conditions for qualification.</w:t>
      </w:r>
    </w:p>
    <w:p>
      <w:pPr>
        <w:spacing w:after="0" w:line="3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one or more of our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our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Committee for Medicinal Products for Human Use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our Candidates. However, a BLA for such Candidates may not meet the eligibility criteria for a priority review voucher upon approval.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receive a priority review voucher upon BLA approval, the product must receive designation from the FDA as a product for a rare pediatric disease prior to approval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priority review voucher,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current statutory sunset provisions for the Rare Pediatric Disease Priority Review Voucher Program, after September 30, 2024, the FDA may only award a voucher for an approved rare pediatric disease product application if the sponsor has rare pediatric disease designation for the drug, and that designation was granted by September 30, 2024.</w:t>
      </w:r>
    </w:p>
    <w:p>
      <w:pPr>
        <w:spacing w:after="0" w:line="6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After September 30, 2026, the FDA may not award any rare pediatric disease priority review vouchers. If we do not obtain approval of a BLA by these dates, and if the Rare Pediatric Disease Priority Review Voucher Program is not further extended by congressional action, we may not receive a Priority Review Voucher.</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FDA has granted rare pediatric disease designation to SGT-003 for the treatment of Duchenne, SGT-212 for the treatment of FA and SGT-501 for the treatment of CPVT.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2" w:name="page53"/>
    <w:bookmarkEnd w:id="52"/>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fast track designation for one or more of our Candidates. However, such designation may not actually lead to a faster development or regulatory review or approval process. We might not receive such designation for one or more of our Candidates.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 therapy is intended for the treatment of a serious condition and non-clinical or clinical data demonstrates the potential to address unmet medical need for this condition, a drug sponsor may apply for FDA fast track designation. However, fast track designation does not ensure that we will receive marketing approval or that approval will be granted within any particular timeframe. The FDA has broad discretion with respect to whether or not to grant fast track designation to a product candidate, so even if we believe a particular Candidate is eligible for such designation, the FDA may decide not to grant it. Moreover,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or if the unmet need has been fulfilled with the approval of another product. Fast track designation alone does not guarantee qualification for the FDA’s priority review procedures.</w:t>
      </w:r>
    </w:p>
    <w:p>
      <w:pPr>
        <w:spacing w:after="0" w:line="43" w:lineRule="exact"/>
        <w:rPr>
          <w:sz w:val="20"/>
          <w:szCs w:val="20"/>
          <w:color w:val="auto"/>
        </w:rPr>
      </w:pPr>
    </w:p>
    <w:p>
      <w:pPr>
        <w:ind w:right="40"/>
        <w:spacing w:after="0" w:line="245" w:lineRule="exact"/>
        <w:rPr>
          <w:sz w:val="20"/>
          <w:szCs w:val="20"/>
          <w:color w:val="auto"/>
        </w:rPr>
      </w:pPr>
      <w:r>
        <w:rPr>
          <w:rFonts w:ascii="Times New Roman" w:cs="Times New Roman" w:eastAsia="Times New Roman" w:hAnsi="Times New Roman"/>
          <w:sz w:val="18"/>
          <w:szCs w:val="18"/>
          <w:color w:val="auto"/>
        </w:rPr>
        <w:t>The FDA has granted fast track designation to SGT-003 for the treatment of Duchenne, SGT-212 for the treatment of FA and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501 for the treatment of CPVT.</w:t>
      </w:r>
    </w:p>
    <w:p>
      <w:pPr>
        <w:spacing w:after="0" w:line="30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Candidates, however, we cannot assume that one or more of our Candidates will meet the criteria for that designation. The FDA has broad discretion with respect to whether or not to grant priority review status to a product candidate, so even if we believe a particular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9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and delays at the FDA and other government agencies from funding cuts, personnel losses, regulatory reform, government shutdowns and other developments could hinder our ability to obtain guidance from the FDA regarding our clinical development program and develop and secure approval of our Candidates in a timely manner, which would negatively impact our business.</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foreign jurisdictions play an important role in the development of our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Candidates could be impacted in a negative manner.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there is substantial uncertainty as to how measures being implemented by the US government administration will impact the FDA, CMS and other federal agencies with jurisdiction over our activities. If oversight and review activities by the FDA and comparable foreign regulatory authorities are disrupted due to funding cuts, personnel losses, reductions in force, regulatory reform or government shutdown, then our ability to develop and/or secure timely approval of our product candidates could be impacted in a negative manner. For example, the recent loss of FDA leadership and personnel, including due to a significant reduction in force, could lead to disruptions and delays in FDA guidance, review and approval of our product candidates. There are also ongoing deliberations within the administration and Congress over potentially substantial proposed cuts to the overall budget for HHS and funding of the FDA for the 2026 federal fiscal year. Similarly, efforts by the new administration to substantially reduce or delay research funding by the National Institutes of Health of medical research could have substantial direct or indirect impacts on our research activities.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3" w:name="page54"/>
    <w:bookmarkEnd w:id="53"/>
    <w:p>
      <w:pPr>
        <w:ind w:right="140"/>
        <w:spacing w:after="0" w:line="258" w:lineRule="auto"/>
        <w:rPr>
          <w:sz w:val="20"/>
          <w:szCs w:val="20"/>
          <w:color w:val="auto"/>
        </w:rPr>
      </w:pPr>
      <w:r>
        <w:rPr>
          <w:rFonts w:ascii="Times New Roman" w:cs="Times New Roman" w:eastAsia="Times New Roman" w:hAnsi="Times New Roman"/>
          <w:sz w:val="18"/>
          <w:szCs w:val="18"/>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regarding our clinical development programs or delay the agency’s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FDA regulatory policies, interpretations and evidentiary expectations, including with respect to clinical trial study design, endpoint selection and the use of single-arm clinical trials, may delay, limit or prevent regulatory approval of our product candidates.</w:t>
      </w:r>
    </w:p>
    <w:p>
      <w:pPr>
        <w:spacing w:after="0" w:line="51"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The regulatory landscape applicable to gene therapy and other advanced therapeutic modalities continues to evolve, including with respect to the types and amount of clinical data that the U.S. Food and Drug Administration (“FDA”) may require to support accelerated approval or traditional approval. The FDA’s policies, guidance, interpretations and expectations relating to clinical trial study design, endpoint selection, statistical analysis, manufacturing, safety monitoring, long-term follow-up and the overall benefit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assessment applicable to product candidates such as ours may change over time, including during the course of our clinical development programs.</w:t>
      </w:r>
    </w:p>
    <w:p>
      <w:pPr>
        <w:spacing w:after="0" w:line="20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Historically, certain rare disease therapies, including gene therapies, have been evaluated using single-arm, open-label and externally controlled clinical trial designs due to challenges associated with patient population size, disease severity, ethical considerations and the absence of available treatment alternatives. In addition, the FDA’s views regarding the acceptability, clinical relevance or validation of particular efficacy, biomarker, surrogate or other study endpoints may evolve over time. However, the FDA may determine that our clinical trial designs, endpoints or analytical approaches are insufficient for one or more of our product candidates or indications and may require additional or different clinical evidence, including randomized controlled trials, larger patient populations, longer follow-up periods, different or additional endpoints, confirmatory studies or other data to support regulatory approval.</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evolving regulatory expectations, changes in agency leadership or priorities, differing views within the FDA, increased scrutiny of accelerated approval pathways or novel therapeutic modalities, or changes in applicable laws, regulations or guidance could result in additional regulatory requirements, delays in our clinical trials, delays in or denial of regulatory approval, limitations on approved indications or post-approval requirements that are more burdensome than we currently anticipate.</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Any such developments could significantly increase our development costs, require substantial additional capital, delay commercialization of our product candidates or otherwise materially adversely affect our business, financial condition, results of operations and prospects. Even if we believe the data from our clinical trials are sufficient to support approval, the FDA may disagree and determine that additional clinical development or confirmatory evidence is required before approval may be obtained, if at all.</w:t>
      </w:r>
    </w:p>
    <w:p>
      <w:pPr>
        <w:spacing w:after="0" w:line="28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Candidates, if successfully developed and approved, will compete with established therapies as well as with new treatments that may be introduced by our competitors. There are a variety of product candidates, including gene therapies, in development for Duchenne, CPVT, other cardiomyopathies or FA.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enrolling participants in clinical trials, as well as in acquiring technologies complementary to, or necessary for, our programs.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40"/>
        <w:spacing w:after="0" w:line="233"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(“Sarepta”) announced that it had received accelerated approval for its gene therapy candidate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ambulatory pediatric patients aged 4 through 5 years with Duchenne. In June 2024, Sarepta announced an expanded US approval of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patients who are at least 4 years of age including full approval for ambulatory Duchenne patients and accelerated approval for non-ambulatory Duchenne patients. Following two reported cases of acute liver failure resulting in death, Sarepta agreed with FDA to a boxed warning for acute liver injury and acute liver failure and the removal of the non-ambulatory population from the "Indication and Usage" section of the Prescribing Information for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of product candidates focused on systemic gene transfers for Duchenne, including Genethon, with a product candidate currently being evaluated in a Phase 1/2/3 clinical trial, REGENXBIO Inc., with a product candidate in Phase 1/2/3 clinical development and Insmed Incorporated, with product candidates in clinical development.</w:t>
      </w:r>
    </w:p>
    <w:p>
      <w:pPr>
        <w:spacing w:after="0" w:line="68"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There are other approaches to treat Duchenne that are either currently marketed or in development including antisense oligonucleotides, histone deacetylase (“HDAC”) inhibitors, corticosteroids, myosin inhibitors, cell therapies and gene editing. Notably, Sarepta has received accelerated approval for three therapies including Exondys 51, Vyondys 53 and Amondys 45 targeting exons 51, 53 and 45, respectively; Nippon Shinyaku received accelerated approval for Viltepso to treat exon 53 amenable patients; Avidity Biosciences is developing Del-zota to treat exon 44; Wave Life Sciences is developing WVE-N531 to treat exon 53 amenable patients; Dyne Therapeutics is developing DYNE-251 to treat exon 51 amenable patients; BioMarin Pharmaceutical is developing BMN 351 to treat exon 51 amenable patients; and Entrada Therapeutics is developing ENTR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601-44, ENTR-601-45, ENTR-601-50, and ENTR-601-51 for exon 44, 45, 50 and 51 amenable patients, respectively. Italfarmaco received FDA approval for its HDAC inhibitor, Givinostat, in Duchenne patients who are at least 6 years of age. Santhera Pharmaceuticals received FDA approval for its corticosteroid, Agamree, which is marketed by Catalyst Pharmaceuticals, in Duchenne patients who are at least 2 years of age. Edgewise Therapeutics is developing Sevasemten, a fast skeletal myosin inhibitor, for Duchenne and Becker muscular dystrophies. Capricor Therapeutics is developing Deramiocel, an allogeneic cardiosphere-derived cell therapy product candidate. Satellos Biosciences is developing SAT-3247, an oral small molecule product candidate. Precision BioSciences is in clinical development for gene editing product candidate, PBGENE-DMD.</w:t>
      </w:r>
    </w:p>
    <w:p>
      <w:pPr>
        <w:spacing w:after="0" w:line="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We are also aware of a number of companies and research institutions developing gene transfer programs in FA. For example, Lexeo Therapeutics is developing an IV gene therapy to treat the cardiac manifestations of FA. Other competitors currently developing gene therapies to treat FA are in preclinical development, including Neurocrine Biosciences in collaboration with Voyager Therapeutics and Capsida Biotherapeutics. We are also aware of other companies developing non-gene therapies for FA, such as Design Therapeutics, Larimar Therapeutics, PTC Therapeutics and Papillon Therapeutics. Biogen’s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(omaveloxolone) was approved for the treatment of FA in adults and adolescents aged 16 and older by the FDA and the European Commission in February 2023 and February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-581660</wp:posOffset>
            </wp:positionV>
            <wp:extent cx="285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in small molecule product candidates focused on CPVT, including Cardurion Pharmaceuticals Inc., with an orally administered CAMKII-delta inhibitor candidate in a Phase 2 clinical trial.</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competitors develop and commercialize products that are first to market or are safer, more effective, have fewer or less severe side effects, have broader market acceptance, are more convenient or are less expensive than any Candidate that we may develop. Changes within the competitive landscape could lead us to alter regulatory and/or clinical trial strategy, baseline eligibility criteria or make other modifications to clinical trial designs.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Candidates we develop.</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capitalize on other potential Candidates that may represent a greater commercial opportunity or for which there is a greater likelihood of success.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upon our ability to develop and commercialize our Candidates. Because we have limited resources, we may forego or delay pursuit of opportunities with certain programs or Candidates or for indications that later prove to have greater commercial potential than our Candidates. For example, in September 2022, we announced that we would be pausing activities for SGT-001, which we are no longer developing.</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may not yield any commercially viable Candidates. If we do not accurately evaluate the commercial potential for a particular Candidate, we may relinquish valuable rights to that Candidate through strategic collaborations, licensing or other arrangements in cases in which it would have been more advantageous for us to retain sole development and commercialization rights to such Candidate. Alternatively, we may allocate internal resources to a Candidate in a therapeutic area in which it would have been more advantageous to enter into a partnering arrangement. If any of these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right="600"/>
        <w:spacing w:after="0" w:line="282" w:lineRule="auto"/>
        <w:rPr>
          <w:sz w:val="20"/>
          <w:szCs w:val="20"/>
          <w:color w:val="auto"/>
        </w:rPr>
      </w:pPr>
      <w:r>
        <w:rPr>
          <w:rFonts w:ascii="Times New Roman" w:cs="Times New Roman" w:eastAsia="Times New Roman" w:hAnsi="Times New Roman"/>
          <w:sz w:val="18"/>
          <w:szCs w:val="18"/>
          <w:color w:val="auto"/>
        </w:rPr>
        <w:t>events occur, we may be forced to abandon our development efforts with respect to a particular Candidate or fail to develop a potentially successful Candidate.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Candidates</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development or commercialization of our Candidates. If our collaborations are not successful, we may not be able to capitalize on the market potential of these Candidates and our business could be adversely affected.</w:t>
      </w:r>
    </w:p>
    <w:p>
      <w:pPr>
        <w:spacing w:after="0" w:line="6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While we have retained all necessary rights to and are developing on our own SGT-003, SGT-212, SGT-501 and other Candidates, we may in the future enter into development, distribution or marketing arrangements with third parties with respect to SGT-003,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SGT-501 or other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Candidates. Our ability to generate revenues from these arrangements will depend on our collaborators’ abilities and efforts to successfully perform the functions assigned to them in these arrangements.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900" w:right="80" w:hanging="368"/>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400" w:hanging="368"/>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36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Candidate, repeat or conduct new clinical trials or require a new formulation of a Candidate for clinical testing;</w:t>
      </w:r>
    </w:p>
    <w:p>
      <w:pPr>
        <w:spacing w:after="0" w:line="53" w:lineRule="exact"/>
        <w:rPr>
          <w:rFonts w:ascii="Times New Roman" w:cs="Times New Roman" w:eastAsia="Times New Roman" w:hAnsi="Times New Roman"/>
          <w:sz w:val="18"/>
          <w:szCs w:val="18"/>
          <w:color w:val="auto"/>
        </w:rPr>
      </w:pPr>
    </w:p>
    <w:p>
      <w:pPr>
        <w:ind w:left="900" w:right="60" w:hanging="368"/>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Candidates being developed or commercialized under a collaboration and, consequently, may have limited ability to inform our stockholders about the status of such Candidates on a discretionary basis;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products that compete directly or indirectly with our Candidates and products pursuant to the collaboration;</w:t>
      </w:r>
    </w:p>
    <w:p>
      <w:pPr>
        <w:spacing w:after="0" w:line="117" w:lineRule="exact"/>
        <w:rPr>
          <w:rFonts w:ascii="Times New Roman" w:cs="Times New Roman" w:eastAsia="Times New Roman" w:hAnsi="Times New Roman"/>
          <w:sz w:val="18"/>
          <w:szCs w:val="18"/>
          <w:color w:val="auto"/>
        </w:rPr>
      </w:pPr>
    </w:p>
    <w:p>
      <w:pPr>
        <w:ind w:left="900" w:right="20" w:hanging="368"/>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right="56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 discovered in collaboration with us may be viewed by our collaborators as competitive with their own product candidates or products, which may cause collaborators to cease to devote resources to the commercialization of our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Candidate or product;</w:t>
      </w:r>
    </w:p>
    <w:p>
      <w:pPr>
        <w:spacing w:after="0" w:line="53"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Candidates that achieve regulatory approval may not commit sufficient resources to the marketing and distribution of such product or products;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left="900" w:right="140" w:hanging="368"/>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Candidates, might lead to additional responsibilities for us with respect to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Candidates.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Candidates could be delayed and we may need additional resources to develop our Candidates. All of the risks relating to product development, regulatory approval and commercialization described herein also apply to the activities of our collaborators.</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seek to establish strategic partnerships for developing Candidates or platform technologies due to capital costs required to develop, manufacture and commercialize our Candidates or platform technologies. We may not be successful in our efforts to establish strategic partnerships or other alternative arrangements because, among other things, our research and development pipeline may be insufficient, Candidates or platform technologies may be deemed to be at too early of a stage of development for collaborative effort or third parties may not view our Candidates or platform technologies as having the requisite potential to demonstrate safety and efficacy. We cannot be certain that, following a strategic transaction, we will achieve an economic or business benefit that justifies such transaction. If we seek to but are unable to reach agreements with suitable collaborators on a timely basis, on acceptable terms or at all, we may have to curtail, reduce or delay the development of a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our Candidates or platform technologies.</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p>
    <w:p>
      <w:pPr>
        <w:spacing w:after="0" w:line="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limited experience manufacturing SGT-003, SGT-212, SGT-501 and our other Candidates. The manufacturing process we have used historically and the manufacturing process we plan to use in the future to produce product for our Candidates are complex and our processes have not been validated for commercial use. As Candidates progress through preclinical studies and clinical trials to marketing approval and commercialization, it is common that various aspects of the development program, such as manufacturing methods and formulation, are altered along the way in an effort to enhance safety, quality, efficacy, yield, manufacturing batch size, minimize costs and achieve consistent results. For example, we have moved to a transient transfection-based manufacturing process for SGT-003 and while we have observed early positive results in preclinical studies and in our ongoing INSPIRE DUCHENNE trial using this new manufacturing process, any further changes in manufacturing or formulation may result in effects and results that are different from those observed in our completed studies to date. Similarly, in the future we may further alter our existing process or introduce an alternative process or formulation of one or more of our Candidates during the course of our planned preclinical studies or clinical trials. Such changes carry the risk that they will not achieve these intended objectives. Any of these changes could cause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80"/>
        <w:spacing w:after="0" w:line="261" w:lineRule="auto"/>
        <w:rPr>
          <w:sz w:val="20"/>
          <w:szCs w:val="20"/>
          <w:color w:val="auto"/>
        </w:rPr>
      </w:pPr>
      <w:r>
        <w:rPr>
          <w:rFonts w:ascii="Times New Roman" w:cs="Times New Roman" w:eastAsia="Times New Roman" w:hAnsi="Times New Roman"/>
          <w:sz w:val="18"/>
          <w:szCs w:val="18"/>
          <w:color w:val="auto"/>
        </w:rPr>
        <w:t>our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Candidates and jeopardize our ability to commercialize our Candidates, if approved, and generate revenue.</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production of SGT-003, SGT-212 and SGT-501 uses a transient transfection-based process which requires processing steps that are more complex than those required for most chemical pharmaceuticals. We also intend to use transient transfection manufacturing for our other Candidates. Moreover, unlike chemical pharmaceuticals, the physical and chemical properties of a gene therapy candidate such as ours generally cannot be fully characterized. As a result, assays of the finished product may not be sufficient to ensure that the product will perform in the intended manner. Accordingly, we have and will continue to employ multiple steps to control our manufacturing processes to assure that the process works and that SGT-003, SGT-212, SGT-501 and our other Candidates are made strictly and consistently in compliance with such processes. We must supply all necessary documentation in support of an IND, BLA or MAA on a timely basis and must adhere to the FDA’s and the European Union’s cGMP requirements before we can obtain marketing approval for SGT-003, SGT-212, SGT-501, and other Candidates. In order to obtain approval, we will need to ensure that all of our processes, methods and equipment are compliant with cGMP requirements, by performing extensive audits of contract laboratories, manufacturers and suppliers.</w:t>
      </w:r>
    </w:p>
    <w:p>
      <w:pPr>
        <w:spacing w:after="0" w:line="80"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We currently rely on multiple third-party manufacturers for supply of SGT-003, SGT-212 and SGT-501 and plan to rely on third-party manufacturers for our other Candidates. In order to produce sufficient quantities of Candidates for clinical trials and initial U.S. commercial demand, we have and will continue to further optimize and increase the capacity of our manufacturing process at our third-party manufacturers. We may need to make changes to our manufacturing processes, beyond implementation of a transient transfection-based manufacturing process. We may not be able to produce sufficient quantities of drug product due to several factors, including capacity constraints, equipment malfunctions, facility contamination, material shortages or contamination, natural disasters, a public health issue (for example, an outbreak of a contagious disease such as the COVID-19 pandemic), disruption in utility services, human error or disruptions in the operations of our suppliers. We may experience variability with respect to the success and yield between lots that will require continued engagement in process development activities to improve the reproducibility, reliability, quality and consistency of yields of the manufacturing process. Additional manufacturing runs will be required to produce necessary or adequate supply for our future clinical trials and there is no guarantee that all of those runs will be within specifications or produce adequate supply. If we are not able to produce sufficient supply on the timeline expected, our overall development schedule for SGT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003, SGT-212, SGT-501 and other Candidates could be delayed, and we could incur additional expense. Any such failure could delay or prevent development and commercialization of SGT-003, SGT-212, SGT-501 or other Candidates.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supply from a manufacturing facility is interrupted, including as a result of capacity constraints, equipment malfunctions, facility contamination, material shortages or contamination, natural disasters, public health emergencies or pandemics, such as the recent COVID-19 pandemic, disruption in utility services or human error, there could be a significant disruption in supply of SGT-003 or other Candidates. In such instance, we may need to locate appropriate replacement third-party manufacturers, and we may not be able to enter into arrangements with such additional third-party manufacturers on favorable terms or at all. Use of new third-party manufacturers could increase the risk of delays in production or insufficient supplies of our Candidates as we transfer our manufacturing technology to these manufacturers and as they gain experience manufacturing our Candidates.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or abandon clinical trials or product launches.</w:t>
      </w:r>
    </w:p>
    <w:p>
      <w:pPr>
        <w:spacing w:after="0" w:line="72"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oversee our manufacturing and quality control process, which could result in delays in our production or difficulties in maintaining compliance with applicable regulatory requirements.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biotechnology and pharmaceutical companies and academic research institutions, which could limit our access to additional attractive development programs. Problems in our manufacturing process or facilities also could restrict our ability to meet market demand for our Candidates.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do not independently manufacture material for our ongoing or planned clinical trials and we are utilizing and expect to utilize materials manufactured by cGMP-compliant third-party suppliers. If these third-party manufacturers do not successfully carry out their contractual duties, meet expected deadlines or manufacture our Candidates in accordance with quality and regulatory requirements or if there are disagreements between us and these third-party manufacturers, we may not be able to complete, or may be delayed in completing, the clinical trials required for approval of our Candidates. In such instances, we may need to locate an appropriate replacement third-party relationship, which may not be readily available or on acceptable terms, which would cause additional delay or increased expense prior to the approval of our Candidates.</w:t>
      </w:r>
    </w:p>
    <w:p>
      <w:pPr>
        <w:spacing w:after="0" w:line="79"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initiated or judicial action, including fines, injunctions, civil penalties, license revocations, seizure, total or partial suspension of production or criminal penalties, any of which could significantly and adversely affect supplies of our Candidates.</w:t>
      </w:r>
    </w:p>
    <w:p>
      <w:pPr>
        <w:spacing w:after="0" w:line="9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we do not currently have long-term supply or manufacturing arrangements in place for the production of our Candidates at commercial scale. Although we intend to establish additional sources for long-term supply, from one or more third-party manufacturers, if the gene therapy industry were to grow, we may encounter increasing competition for the materials necessary for the production of Candidates.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our Candidates for future clinical trials or to meet initial commercial demand in the United States. We currently rely, and expect to continue to rely, on additional third parties to manufacture materials for our Candidates and to perform quality testing. We intend to maintain third-party manufacturers for these materials, as well as to serve as additional sources of our Candidates, which will expose us to risks including reduced control of manufacturing activities;</w:t>
      </w:r>
    </w:p>
    <w:p>
      <w:pPr>
        <w:spacing w:after="0" w:line="80" w:lineRule="exact"/>
        <w:rPr>
          <w:sz w:val="20"/>
          <w:szCs w:val="20"/>
          <w:color w:val="auto"/>
        </w:rPr>
      </w:pPr>
    </w:p>
    <w:p>
      <w:pPr>
        <w:ind w:left="900" w:right="22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certain CDMOs to produce our Candidates in the necessary quantities, or in compliance with current cGMP or in compliance with pertinent regulatory requirements and within our planned time frame and cost parameters;</w:t>
      </w:r>
    </w:p>
    <w:p>
      <w:pPr>
        <w:spacing w:after="0" w:line="53" w:lineRule="exact"/>
        <w:rPr>
          <w:rFonts w:ascii="Times New Roman" w:cs="Times New Roman" w:eastAsia="Times New Roman" w:hAnsi="Times New Roman"/>
          <w:sz w:val="18"/>
          <w:szCs w:val="18"/>
          <w:color w:val="auto"/>
        </w:rPr>
      </w:pPr>
    </w:p>
    <w:p>
      <w:pPr>
        <w:ind w:left="900" w:right="62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CDMOs to pass regulatory inspections and supply commercial material, which could impact our commercialization timelines;</w:t>
      </w:r>
    </w:p>
    <w:p>
      <w:pPr>
        <w:spacing w:after="0" w:line="53"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and service agreements with third parties in a manner or at a time that is costly or damaging to us; and</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 and our and their suppliers caused by conditions unrelated to our business or operations, including the bankruptcy of the manufacturer or supplier, natural disasters or public health issues.</w:t>
      </w:r>
    </w:p>
    <w:p>
      <w:pPr>
        <w:spacing w:after="0" w:line="5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Candidates. Some of these events could be the basis for FDA action, including injunction, recall, seizure or total or partial suspension of product manufacture.</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distribution and marketing capabilities or enter into agreements with third parties to market and sell our Candidates, we will be unable to generate any product revenue.</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Candidate that may result from our development programs, we will need to develop these capabilities, either on our own or with others. The establishment and development of our own commercial team or the establishment of a contract sales force to market any Candidate we may develop will be expensive and time-consuming and could delay any product launch. Moreover, we cannot be certain that we will be able to successfully develop this capability. We may enter into collaborations regarding our Candidates with other entities to utilize their established marketing and distribution capabilities, but we may be unable to enter into such agreements on favorable terms, if at all. If any future collaborators do not commit sufficient resources to commercialize our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will also face competition in our search for third parties to assist us with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9" w:name="page60"/>
    <w:bookmarkEnd w:id="59"/>
    <w:p>
      <w:pPr>
        <w:ind w:right="240"/>
        <w:spacing w:after="0" w:line="282" w:lineRule="auto"/>
        <w:rPr>
          <w:sz w:val="20"/>
          <w:szCs w:val="20"/>
          <w:color w:val="auto"/>
        </w:rPr>
      </w:pPr>
      <w:r>
        <w:rPr>
          <w:rFonts w:ascii="Times New Roman" w:cs="Times New Roman" w:eastAsia="Times New Roman" w:hAnsi="Times New Roman"/>
          <w:sz w:val="18"/>
          <w:szCs w:val="18"/>
          <w:color w:val="auto"/>
        </w:rPr>
        <w:t>sales and marketing efforts of any future products. Without an internal team or the support of a third party to perform marketing and sales functions, we will be unable to compete successfully against these more established companies.</w:t>
      </w:r>
    </w:p>
    <w:p>
      <w:pPr>
        <w:spacing w:after="0" w:line="26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medical affairs capabilities, we will be unable to establish an educated market of physicians to administer any future products.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have no medical affairs team. If we are unable to successfully build a medical affairs team to address scientific and medical questions and provide expert guidance and education in the application, administration and utilization of any future products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of our future products are smaller than we believe they are, our revenue prospects may be adversely affected and our business may suffer.</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rare genetic neuromuscular and cardiac indications. Our understanding of the patient population with these diseases is based on estimates in published literature and by disease-focused foundations. These estimates may prove to be incorrect and new studies may reduce the estimated incidence or prevalence of these diseases. The number of patients in the United States, the European Union and elsewhere may turn out to be lower than expected, patients may not be otherwise amenable to treatment with our Candidates or patients may become increasingly difficult to identify and access.</w:t>
      </w:r>
    </w:p>
    <w:p>
      <w:pPr>
        <w:spacing w:after="0" w:line="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reducing the actual number of patients who could receive our Candidates less than the potentially addressable market. These include the lack of widespread availability of, and limited reimbursement for, new therapies in many underdeveloped markets. Further, the severity of the progression of a degenerative disease such as Duchenne and FA up to the time of treatment will likely diminish the therapeutic benefit conferred by a gene therapy due to irreversible cell damage.</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patients’ immune systems might prohibit the successful delivery of certain gene therapy products, thereby potentially limiting the population of patients amenable to gene transfer.</w:t>
      </w:r>
    </w:p>
    <w:p>
      <w:pPr>
        <w:spacing w:after="0" w:line="5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As with many AAV-mediated gene therapy approaches, certain patients’ immune systems might prohibit the successful delivery of certain gene therapy products, thereby potentially limiting the population of patients amenable to gene transfer. While we are working to better understand the prevalence of antibodies to AAV, or seroprevalence, as it relates to gene therapy, the exact seroprevalence is currently unknown and varies by AAV serotype and age. We may not be able to address these potentially limiting factors for gene therapy as a treatment for certain patients.</w:t>
      </w:r>
    </w:p>
    <w:p>
      <w:pPr>
        <w:spacing w:after="0" w:line="247" w:lineRule="exact"/>
        <w:rPr>
          <w:sz w:val="20"/>
          <w:szCs w:val="20"/>
          <w:color w:val="auto"/>
        </w:rPr>
      </w:pPr>
    </w:p>
    <w:p>
      <w:pPr>
        <w:ind w:right="30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Candidates, if approved, will depend upon market acceptance by physicians, patients,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and others in the medical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-223520</wp:posOffset>
            </wp:positionV>
            <wp:extent cx="6413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Even with the requisite approvals from the FDA in the United States, the European Commission in the European Union and other regulatory authorities internationally, the commercial success of our Candidates will depend, in part, on the acceptance of physicians, patients and health care payors of gene therapy products in general, and, in particular for each of our current and future Candidates, as medically necessary, cost-effective and safe. Any product that we commercialize may not gain acceptance by physicians, patients, health care payors and others in the medical community due to ethical, social, medical and legal concerns. If our products do not achieve an adequate level of acceptance, we may not generate significant product revenue and may not become profitable. The degree of market acceptance of gene therapy products and, in particular, our current and future Candidates, if approved for commercial sale, will depend on multiple factors, including:</w:t>
      </w:r>
    </w:p>
    <w:p>
      <w:pPr>
        <w:spacing w:after="0" w:line="81" w:lineRule="exact"/>
        <w:rPr>
          <w:sz w:val="20"/>
          <w:szCs w:val="20"/>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current and future Candidates as demonstrated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and perceived advantages of our Candidates over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1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Candidates are approved by the FDA, the European Commission or other regulatory authorities, as applicable;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60" w:name="page61"/>
    <w:bookmarkEnd w:id="60"/>
    <w:p>
      <w:pPr>
        <w:ind w:left="900" w:right="28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products to meet market demand;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Candidates or competing products and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payor coverage and adequate reimbursement.</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Even if a potential Candidate displays a favorable efficacy and safety profile in preclinical studies and clinical trials, market acceptance of the product will not be fully known until after it is launched.</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Candidates may require significant resources and may never be successful. Such efforts may require more resources than are typically required due to the complexity and uniqueness of our potential Candidates. If our Candidates are approved but fail to achieve market acceptance among physicians, patients or third-party payors, we will not be able to generate significant revenue from any such product.</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 transfer remains a novel technology that faces many challenges imposed by the humoral immune response. The immunogenicity of AAV gene transfers is a very complex process that we and others continue to work understand through the extensive clinical experience that now exists over a broad spectrum of therapeutic areas and indications. Marked inflammatory toxicities have been observed, including complement activation, cytopenias, severe hepatotoxicity as well as transgene related toxicities representing part of the continuum of diverse aspects of clinical immune responses that can be observed post gene transfer.</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particular, our success will depend upon physicians who specialize in the treatment of our pipeline indications, prescribing treatments that involve the use of viral capsids in lieu of, or in addition to, other treatments with which they are more familiar and for which greater clinical data may be available. More restrictive government regulations or negative public opinion may delay or impair the development and commercialization or demand for any Candidate we may develop. A public backlash developed against gene therapy following the death of a participant in 1999 during a gene therapy clinical trial of research subjects with ornithine transcarbamylase (“OTC”) deficiency, a rare disorder in which the liver lacks a functional copy of the OTC gene. The death of the clinical trial subject was due to complications of adenovirus capsid administration. Dr. James M. Wilson, former chair of our Scientific Advisory Board, was a co-investigator of the 1999 trial while he was Director of the Institute for Human Gene Therapy of the University of Pennsylvania. Serious adverse events in our clinical trials, including the events that led to the previously-lifted clinical holds on IGNITE DMD or other clinical trials involving gene transfer products or our competitors’ products, even if not ultimately attributable to the relevant Candidates, and the resulting publicity, could result in increased government regulation, unfavorable public perception, potential regulatory delays in the testing or approval of our Candidates, stricter labeling requirements for our Candidates, if approved, and a decrease in demand for our Candidates.</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Candidates and delays in our clinical development or commercialization schedules.</w:t>
      </w:r>
    </w:p>
    <w:p>
      <w:pPr>
        <w:spacing w:after="0" w:line="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our manufacturing processes. Any contamination could materially adversely affect our ability to produce our Candidates on schedule and could cause reputational damage.</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Candidates could adversely impact or disrupt the manufacturing or the production of clinical material, which could materially and adversely affect our development timelines.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61" w:name="page62"/>
    <w:bookmarkEnd w:id="61"/>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insurance coverage and reimbursement status of newly approved products is uncertain. Failure to obtain or maintain adequate coverage and reimbursement for our Candidates, if approved, could limit our ability to market those products and decrease our ability to generate product revenue.</w:t>
      </w:r>
    </w:p>
    <w:p>
      <w:pPr>
        <w:spacing w:after="0" w:line="28"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our future products, if approved, will depend substantially, both domestically and abroad, on the extent to which the costs of such Candidates will be paid by health maintenance, managed care, pharmacy benefit and similar health care management organizations, or will be reimbursed by government authorities, private health coverage insurers and other third-party payors. Coverage and reimbursement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may depend upon several factors, including the third-party payor’s determination that use of a product is:</w:t>
      </w:r>
    </w:p>
    <w:p>
      <w:pPr>
        <w:spacing w:after="0" w:line="93"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and a one-time treatment, as applicable;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our future products, if approved. Even if coverage is provided, the approved reimbursement amount may not be adequate to realize a sufficient return on our investment.</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our knowledge, only a limited number of gene transfer products have been approved for coverage and reimbursement by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our future products, if approved.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Candidates. Accordingly, in markets outside the United States, the reimbursement for our Candidates may be reduced compared with the United States and may be insufficient to generate commercially reasonable product revenue.</w:t>
      </w:r>
    </w:p>
    <w:p>
      <w:pPr>
        <w:spacing w:after="0" w:line="79"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and high-priced member states, can further reduce prices.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Candidate to other available therapies. Reimbursement of our products may be unavailable or limited in scope or amount, which would adversely affect our revenue, if 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2" w:name="page63"/>
    <w:bookmarkEnd w:id="62"/>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future products outside of the United States, in particular in the European Union, a variety of risks associated with international operations could materially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our future products, if approved, outside the United States, including:</w:t>
      </w:r>
    </w:p>
    <w:p>
      <w:pPr>
        <w:spacing w:after="0" w:line="117" w:lineRule="exact"/>
        <w:rPr>
          <w:sz w:val="20"/>
          <w:szCs w:val="20"/>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therapeutics in foreign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54" w:lineRule="exact"/>
        <w:rPr>
          <w:sz w:val="20"/>
          <w:szCs w:val="20"/>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900" w:right="98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Candidates and initiatives in pursuing such acquisition or strategic collaboration;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collaboration or even to offset transaction costs.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63" w:name="page64"/>
    <w:bookmarkEnd w:id="63"/>
    <w:p>
      <w:pPr>
        <w:ind w:right="100"/>
        <w:spacing w:after="0" w:line="282" w:lineRule="auto"/>
        <w:rPr>
          <w:sz w:val="20"/>
          <w:szCs w:val="20"/>
          <w:color w:val="auto"/>
        </w:rPr>
      </w:pPr>
      <w:r>
        <w:rPr>
          <w:rFonts w:ascii="Times New Roman" w:cs="Times New Roman" w:eastAsia="Times New Roman" w:hAnsi="Times New Roman"/>
          <w:sz w:val="18"/>
          <w:szCs w:val="18"/>
          <w:color w:val="auto"/>
        </w:rPr>
        <w:t>employment at any time. We currently do not have “key person” insurance on any of our employees. The loss of the services of one or more of our current key employees might impede the achievement of our research, development and commercialization objectives.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capsid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in the scale and complexity of our operations, our performance may suffer.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our current and future Candidates and products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the federal Health Insurance Portability and Accountability Act of 1996 (“HIPAA”), other U.S. federal and state law, and requirements of non-U.S. 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Candidates and may affect the prices we may set.</w:t>
      </w:r>
    </w:p>
    <w:p>
      <w:pPr>
        <w:spacing w:after="0" w:line="5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there is significant interest in promoting health care reform, as evidenced by the enactment of the Patient Protection and Affordable Care Act and the companion Health Care and Education Reconciliation Act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spacing w:after="0" w:line="220" w:lineRule="exact"/>
        <w:rPr>
          <w:sz w:val="20"/>
          <w:szCs w:val="20"/>
          <w:color w:val="auto"/>
        </w:rPr>
      </w:pPr>
      <w:r>
        <w:rPr>
          <w:rFonts w:ascii="Times New Roman" w:cs="Times New Roman" w:eastAsia="Times New Roman" w:hAnsi="Times New Roman"/>
          <w:sz w:val="18"/>
          <w:szCs w:val="18"/>
          <w:color w:val="auto"/>
        </w:rPr>
        <w:t>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legislative changes resulting from the passage of the Health Care Reform Law, other legislative changes have been proposed and adopted since the Health Care Reform Law was enacted. In August 2011, the Budget Control Act of 2011, among other things, led to aggregate reductions to Medicare payments to providers of up to 2% per fiscal year, which will remain in effect through the first half of 2032.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(the “CARES Act”) suspended the 2% Medicare sequester from May 1, 2020 through December 31, 2020, and extended the sequester through 2031. These Medicare sequester reductions were suspended through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Candidates for which we may obtain regulatory approval or the frequency with which any such Candidate is prescribed or used.</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 of 2017 (“TCJA”), Congress repealed the “individual mandate.” The repeal of this provision of the Health Care Reform Law, which requires most Americans to carry a minimal level of health insurance, became effective in 2019. Further, on December 14, 2018, a U.S. District Court judge in the Northern District of Texas ruled that the individual mandate portion of the Health Care Reform Law is an essential and inseverable feature of the Health Care Reform Law, and therefore because the mandate 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statute. It is unclear how such litigation and other efforts to repeal and replace the Health Care Reform Law will impact the Health Care Reform Law and our business. Litigation and legislation over the Health Care Reform Law are likely to continue, with unpredictable and uncertain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could adversely affect our business and financial condition.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(the “IRA”), was signed into law in August 2022, and the One Big Beautiful Bill Act (“OBBBA”), was signed into law in July 2025. The IRA introduced new tax provisions, including a 1% excise tax imposed on certain stock repurchases by publicly traded companies. The 1% excise tax generally applies to any acquisition of stock by the publicly traded company (or certain of its affiliates) from a stockholder of the company in exchange for money or other property (other than stock of the company itself), subject to exceptions. Thus, the excise tax could apply to certain transactions that are not traditional stock repurchases.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costs and prices of prescription pharmaceuticals have been the subject of considerable discussion in the United States. To date, there have been several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65" w:name="page66"/>
    <w:bookmarkEnd w:id="65"/>
    <w:p>
      <w:pPr>
        <w:spacing w:after="0" w:line="253" w:lineRule="auto"/>
        <w:rPr>
          <w:sz w:val="20"/>
          <w:szCs w:val="20"/>
          <w:color w:val="auto"/>
        </w:rPr>
      </w:pPr>
      <w:r>
        <w:rPr>
          <w:rFonts w:ascii="Times New Roman" w:cs="Times New Roman" w:eastAsia="Times New Roman" w:hAnsi="Times New Roman"/>
          <w:sz w:val="18"/>
          <w:szCs w:val="18"/>
          <w:color w:val="auto"/>
        </w:rPr>
        <w:t>In addition, in October 2020, the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(“PhRMA”), but the case was dismissed by a federal district court in February 2023 after the court found that PhRMA did not have standing to sue HHS. Several states have passed laws allowing for the importation of drugs from Canada. Certain of these states have submitted Section 804 Importation Program proposals and are awaiting FDA approval. 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 On May 21, 2025, the FDA announced that it would offer individual states the opportunity to submit a draft proposal for pre-review and meet with the agency to obtain initial feedback from the FDA prior to formally submitting their section 804 importation program proposal. The intent of these meetings is to assist states in developing their proposals by further clarifying requirements, enhancing the quality of proposals submitted to the FDA and ultimately shortening the review timeline. Further, the HHS finalized a regulation removing safe harbor protection for price reductions from pharmaceutical manufacturers to plan sponsors under Part D, either directly or through pharmacy benefit managers, unless the price reduction is required by law.</w:t>
      </w:r>
    </w:p>
    <w:p>
      <w:pPr>
        <w:spacing w:after="0" w:line="82"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as well as a new safe harbor for certain fixed fee arrangements between pharmacy benefit managers and manufacturers, the implementation of which has been delayed until January 1, 2032, by the IRA.</w:t>
      </w:r>
    </w:p>
    <w:p>
      <w:pPr>
        <w:spacing w:after="0" w:line="9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3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With passage of the OBBBA in July 2025, Congress extended this exemption to drugs and biologics with multiple orphan drug designations. The first cycle of negotiations for the Medicare Drug Price Negotiation Program commenced in the summer of 2023. On August 15, 2024, HHS published the results of the first Medicare drug price negotiations for ten selected drugs that treat a range of conditions, including diabetes, chronic kidney disease, and rheumatoid arthritis. The prices of these ten drugs will become effective January 1, 2026. In August 2024, HHS published the results of the first Medicare drug price negotiations for ten selected drugs that treat a range of conditions and the prices will become effective January 1, 2026. In January 2025, CMS announced the next 15 drug and biologic prices that will be subject to the IRA’s price negotiation provisions. This second cycle of negotiations with participating drug companies will occur during 2025, and any negotiated prices for this second set of drugs will be effective starting January 1, 2027. CMS issued a public statement on January 2025, declaring that lowering the cost of prescription drugs is a top priority of the new administration and CMS is committed to considering opportunities to bring greater transparency in the negotiation program.</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$2,000 a year beginning in 2025.</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June 2023, Merck filed a lawsuit against HHS and CMS asserting that, among other things, the IRA’s Drug Price Negotiation Program for Medicare constitutes an uncompensated taking in violation of the Fifth Amendment of the Constitution. Subsequently, a number of other parties, including pharmaceutical companies, also filed lawsuits in various courts with similar constitutional claims against HHS and CMS. There have been various decisions by the courts considering these cases since they were filed. The HHS has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66" w:name="page67"/>
    <w:bookmarkEnd w:id="66"/>
    <w:p>
      <w:pPr>
        <w:ind w:right="100"/>
        <w:spacing w:after="0" w:line="254" w:lineRule="auto"/>
        <w:rPr>
          <w:sz w:val="20"/>
          <w:szCs w:val="20"/>
          <w:color w:val="auto"/>
        </w:rPr>
      </w:pPr>
      <w:r>
        <w:rPr>
          <w:rFonts w:ascii="Times New Roman" w:cs="Times New Roman" w:eastAsia="Times New Roman" w:hAnsi="Times New Roman"/>
          <w:sz w:val="18"/>
          <w:szCs w:val="18"/>
          <w:color w:val="auto"/>
        </w:rPr>
        <w:t>generally won the substantive disputes in these cases or succeeded in getting claims dismissed for lack of standing. Most of these cases are now on appeal. In October 2024, the U.S. Court of Appeals for the Third Circuit heard oral argument in three of these cases. In May 2025, the Third Circuit rejected a pharmaceutical company’s challenge to the Medicare price negotiation program, finding that the program did not violate the company’s due process rights under the U.S. Constitution since there is no protected property interest in selling goods to Medicare beneficiaries at a price higher than what the government is willing to pay in reimbursement. 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April 2025, the President issued an executive order directing the HHS to take steps to reduce the prices of pharmaceutical products, repeating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80"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On May 12, 2025, the President issued an additional executive order calling on pharmaceutical manufacturers to voluntarily reduce the prices of medicines in the United States. The executive order directs the Secretary of HHS to communicate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nation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on May 20, 2025, HHS indicated that the proposed MFN pricing will apply only to brand products without generic or biosimilar competition and the referenced foreign countries will include only those in which the branded product similarly does not have generic or biosimilar competition. Second, HHS indicated that the MFN target price will be the lowest price in a country that is a member of the Organization for Economic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operation and Development (“OECD”) with a gross domestic product (“GDP”) per capita of at least 60% of the U.S. GDP per capita. Based on previous estimates, there are likely at least 22 OECD countries that would satisfy this criterion. The implications of these actions remain unclear and are likely to result in litigation if the administration pursues an MFN regulatory pricing requirement.</w:t>
      </w:r>
    </w:p>
    <w:p>
      <w:pPr>
        <w:spacing w:after="0" w:line="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 recently,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lower prices for new drugs than the prices offered for such products in the U.S.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8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December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which is proposed to go into effect beginning October 1, 2026, and the Guarding U.S. Medicare Against Rising Drug Costs for Medicare Part D drugs, referred to as GUARD, which is proposed to go into effect beginning January 1, 2027.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authorities and individual hospitals are increasingly using bidding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ind w:right="40"/>
        <w:spacing w:after="0" w:line="261" w:lineRule="auto"/>
        <w:rPr>
          <w:sz w:val="20"/>
          <w:szCs w:val="20"/>
          <w:color w:val="auto"/>
        </w:rPr>
      </w:pPr>
      <w:r>
        <w:rPr>
          <w:rFonts w:ascii="Times New Roman" w:cs="Times New Roman" w:eastAsia="Times New Roman" w:hAnsi="Times New Roman"/>
          <w:sz w:val="18"/>
          <w:szCs w:val="18"/>
          <w:color w:val="auto"/>
        </w:rPr>
        <w:t>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Candidates or additional pricing pressures.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to contain or reduce costs of health care may adversely affect:</w:t>
      </w:r>
    </w:p>
    <w:p>
      <w:pPr>
        <w:spacing w:after="0" w:line="72" w:lineRule="exact"/>
        <w:rPr>
          <w:sz w:val="20"/>
          <w:szCs w:val="20"/>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Candidates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Finally, in the European Union, similar political, economic and regulatory developments may affect our ability to profitably commercialize our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Candidates, restrict or regulate post-approval activities and affect our ability to commercialize our Candidates, if approved.</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markets outside of the United States and the European Union,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Candidates may lose any regulatory approval that may have been obtained and we may not achieve or sustain profitability.</w:t>
      </w:r>
    </w:p>
    <w:p>
      <w:pPr>
        <w:spacing w:after="0" w:line="2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obtain FDA approval for our current or future Candidates and begin commercializing one or more of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the Physician Payment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9" w:lineRule="exact"/>
        <w:rPr>
          <w:sz w:val="20"/>
          <w:szCs w:val="20"/>
          <w:color w:val="auto"/>
        </w:rPr>
      </w:pPr>
    </w:p>
    <w:p>
      <w:pPr>
        <w:ind w:left="900" w:right="40" w:hanging="368"/>
        <w:spacing w:after="0" w:line="25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8" w:name="page69"/>
    <w:bookmarkEnd w:id="68"/>
    <w:p>
      <w:pPr>
        <w:ind w:left="900" w:right="200" w:hanging="383"/>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5" w:lineRule="exact"/>
        <w:rPr>
          <w:rFonts w:ascii="Times New Roman" w:cs="Times New Roman" w:eastAsia="Times New Roman" w:hAnsi="Times New Roman"/>
          <w:sz w:val="18"/>
          <w:szCs w:val="18"/>
          <w:color w:val="auto"/>
        </w:rPr>
      </w:pPr>
    </w:p>
    <w:p>
      <w:pPr>
        <w:ind w:left="900" w:right="180" w:hanging="368"/>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53" w:lineRule="exact"/>
        <w:rPr>
          <w:rFonts w:ascii="Times New Roman" w:cs="Times New Roman" w:eastAsia="Times New Roman" w:hAnsi="Times New Roman"/>
          <w:sz w:val="18"/>
          <w:szCs w:val="18"/>
          <w:color w:val="auto"/>
        </w:rPr>
      </w:pPr>
    </w:p>
    <w:p>
      <w:pPr>
        <w:ind w:left="900" w:right="60" w:hanging="368"/>
        <w:spacing w:after="0" w:line="258"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5" w:lineRule="exact"/>
        <w:rPr>
          <w:rFonts w:ascii="Times New Roman" w:cs="Times New Roman" w:eastAsia="Times New Roman" w:hAnsi="Times New Roman"/>
          <w:sz w:val="18"/>
          <w:szCs w:val="18"/>
          <w:color w:val="auto"/>
        </w:rPr>
      </w:pPr>
    </w:p>
    <w:p>
      <w:pPr>
        <w:ind w:left="900" w:right="160" w:hanging="368"/>
        <w:spacing w:after="0" w:line="258"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other healthcare professionals and teaching hospitals and (ii)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900" w:right="160" w:hanging="368"/>
        <w:spacing w:after="0" w:line="261"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1"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ind w:right="620"/>
        <w:spacing w:after="0" w:line="282" w:lineRule="auto"/>
        <w:rPr>
          <w:sz w:val="20"/>
          <w:szCs w:val="20"/>
          <w:color w:val="auto"/>
        </w:rPr>
      </w:pPr>
      <w:r>
        <w:rPr>
          <w:rFonts w:ascii="Times New Roman" w:cs="Times New Roman" w:eastAsia="Times New Roman" w:hAnsi="Times New Roman"/>
          <w:sz w:val="18"/>
          <w:szCs w:val="18"/>
          <w:color w:val="auto"/>
        </w:rPr>
        <w:t>compliance with applicable privacy standards and our contractual obligations can be complex and may be subject to changing interpretation. These obligations may be applicable to some or all of our business activities now or in the future.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General Data Protection Regulation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California, several other states have passed comprehensive privacy laws similar to the CCPA and CPRA. These laws are either in effect or will go into effect sometime over the next several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privacy laws that will go into effect over the next several years. Other states will be considering these laws in the future, and Congress has also been debating passing a federal privacy law. There are also states that are specifically regulating health information that may affect our business. These laws may impact our business activities, including our identification of research subjects, relationships with business partners and ultimately the marketing and distribution of our products.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could create potential risk for our business.</w:t>
      </w:r>
    </w:p>
    <w:p>
      <w:pPr>
        <w:spacing w:after="0" w:line="7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European Commission to offer adequate data protection legislation, such as the United States. There are ongoing concerns about the ability of companies to transfer personal data from the EU to other countries. In July 2020, the Court of Justice of the European Union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0" w:name="page71"/>
    <w:bookmarkEnd w:id="70"/>
    <w:p>
      <w:pPr>
        <w:ind w:right="240"/>
        <w:spacing w:after="0" w:line="219" w:lineRule="exact"/>
        <w:rPr>
          <w:sz w:val="20"/>
          <w:szCs w:val="20"/>
          <w:color w:val="auto"/>
        </w:rPr>
      </w:pPr>
      <w:r>
        <w:rPr>
          <w:rFonts w:ascii="Times New Roman" w:cs="Times New Roman" w:eastAsia="Times New Roman" w:hAnsi="Times New Roman"/>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spacing w:after="0" w:line="9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serves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There is currently one pending litigation against the EU-U.S. Data Privacy Framework before the CJEU.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Brexit, the UK Data Protection Act 2018 applies to the processing of personal data that takes place in the United Kingdom and includes parallel obligations to those set forth by GDPR. In relation to data transfers, both the United Kingdom and the EU have determined, through separate “adequacy” decisions, that data transfers between the two jurisdictions are in compliance with the UK Data Protection Act and the GDPR, respectively. Any changes or updates to these adequacy decisions have the potential to impact our business.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9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(“Bribery Act”), the U.S. Foreign Corrupt Practices Act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1" w:name="page72"/>
    <w:bookmarkEnd w:id="71"/>
    <w:p>
      <w:pPr>
        <w:ind w:right="220"/>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Candidates outside of the United States, which could limit our growth potential and increase our development costs.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Candidate that we may develop.</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SGT-003, SGT-212, SGT-501 and any of our current and future Candidates in preclinical studies and clinical trials and may face an even greater risk if we commercialize any Candidate that we may develop. If we cannot successfully defend ourselves against claims that our Candidates caused injuries, we could incur substantial liabilities. Regardless of merit or eventual outcome, liability claims may result in:</w:t>
      </w:r>
    </w:p>
    <w:p>
      <w:pPr>
        <w:spacing w:after="0" w:line="72"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Candidate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Candidates;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commence additional clinical trials and if we successfully commercialize any Candidate.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2" w:name="page73"/>
    <w:bookmarkEnd w:id="72"/>
    <w:p>
      <w:pPr>
        <w:ind w:right="20"/>
        <w:spacing w:after="0" w:line="258" w:lineRule="auto"/>
        <w:rPr>
          <w:sz w:val="20"/>
          <w:szCs w:val="20"/>
          <w:color w:val="auto"/>
        </w:rPr>
      </w:pPr>
      <w:r>
        <w:rPr>
          <w:rFonts w:ascii="Times New Roman" w:cs="Times New Roman" w:eastAsia="Times New Roman" w:hAnsi="Times New Roman"/>
          <w:sz w:val="18"/>
          <w:szCs w:val="18"/>
          <w:color w:val="auto"/>
        </w:rPr>
        <w:t>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51" w:lineRule="exact"/>
        <w:rPr>
          <w:sz w:val="20"/>
          <w:szCs w:val="20"/>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fraud to cause payments or information to be transmitted to an unintended recipient.</w:t>
      </w:r>
    </w:p>
    <w:p>
      <w:pPr>
        <w:spacing w:after="0" w:line="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While we are not aware of any such material system failure, accident, cyber-attack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current and other future Candidates could be delayed.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develop and commercialize our Candidates is heavily dependent on licenses to patent rights and other intellectual property granted to us by third parties. In particular, we have licensed certain patents and patent applications from the University of Missouri, the University of Washington and others that are important or necessary to the development of SGT-003, our other Candidates and other elements of our gene transfer program. We have further licensed certain intellectual property from the University of Pennsylvania and others that are important or necessary to the development of SGT-212 and from ICS Maugeri that are important or necessary to the development of SGT-501. Our existing license agreements impose, and we expect that future license agreements will impose, various diligence, development and commercialization obligations, milestone payments, royalties and other obligations on us. If we fail to comply with our obligations under our agreements, we may be subject to damages, which may be significant, and the licensor may have the right to terminate the license, in which event we may not be able to develop or market Candidates or technologies covered by the license. In addition, certain of these license agreements are not assignable by us without the consent of the respective licensor, which may have an adverse effect on our ability to engage in certain transactions.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certain of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Missouri and the University of Washington, each of the applicable licensors controls the prosecution of patent applications and the maintenance of patents and patent applications. Therefore, we cannot be certain that the licensed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Candidates that are the subject of such licensed rights could be adversely affected. For more information, see Part I, Item 1, “Business—Strategic Partnerships and Collaborations/Licenses” in our Annual Report on Form 10-K for the year ended December 31, 2025.</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3" w:name="page74"/>
    <w:bookmarkEnd w:id="73"/>
    <w:p>
      <w:pPr>
        <w:ind w:right="80"/>
        <w:spacing w:after="0" w:line="218" w:lineRule="exact"/>
        <w:rPr>
          <w:sz w:val="20"/>
          <w:szCs w:val="20"/>
          <w:color w:val="auto"/>
        </w:rPr>
      </w:pPr>
      <w:r>
        <w:rPr>
          <w:rFonts w:ascii="Times New Roman" w:cs="Times New Roman" w:eastAsia="Times New Roman" w:hAnsi="Times New Roman"/>
          <w:sz w:val="18"/>
          <w:szCs w:val="18"/>
          <w:color w:val="auto"/>
        </w:rPr>
        <w:t>Moreover, licenses to additional third-party intellectual property, technology and materials may be required for our development programs but may not be available in the future or may not be available on commercially reasonable terms. For example, third parties may claim that the constructs containing the gene or protein of interest and the AAV capsids we are developing for use in product candidates are covered by patents held by them. We believe that we would have valid defenses to any such claims; however, if any such claims were ultimately successful, we might require a license to continue to use and sell Candidates and such AAV capsids. Such licenses may not be available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 Moreover, even if we are able to obtain such licenses, they may only be non-exclusive, which could permit competitors and other third parties to use the same intellectual property in competition with us.</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licensable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or successfully challenge such rights, to any third-party intellectual property rights that are required for the development and commercialization of our Candidates, and such third-party intellectual property rights are successfully asserted against us, we may be liable for damages, which may be significant, and we may be required to cease the development and commercialization of our Candidates.</w:t>
      </w:r>
    </w:p>
    <w:p>
      <w:pPr>
        <w:spacing w:after="0" w:line="2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seek, obtain, maintain, enforce and defend patent rights in the United States and other countries with respect to our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our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although we have pending patent applications in the United States and abroad, we cannot predict whether or in which jurisdictions the pending applications will result in issuance of patents that effectively protect any of our Candidates or will effectively prevent others from commercializing competitive products. Further, each of the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Candidates or will effectively prevent others from commercializing competitive products.</w:t>
      </w:r>
    </w:p>
    <w:p>
      <w:pPr>
        <w:spacing w:after="0" w:line="43"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regarding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exclusivity. For example,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file, prosecute, maintain, enforce, defend or license all patents that are necessary to our business.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4" w:name="page75"/>
    <w:bookmarkEnd w:id="74"/>
    <w:p>
      <w:pPr>
        <w:ind w:right="40"/>
        <w:spacing w:after="0" w:line="266" w:lineRule="auto"/>
        <w:rPr>
          <w:sz w:val="20"/>
          <w:szCs w:val="20"/>
          <w:color w:val="auto"/>
        </w:rPr>
      </w:pPr>
      <w:r>
        <w:rPr>
          <w:rFonts w:ascii="Times New Roman" w:cs="Times New Roman" w:eastAsia="Times New Roman" w:hAnsi="Times New Roman"/>
          <w:sz w:val="18"/>
          <w:szCs w:val="18"/>
          <w:color w:val="auto"/>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Candidates in certain jurisdictions. We or our licensors may not be able to obtain or maintain patent protection with respect to our Candidates.</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our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Candidates or otherwise materially harm our business. As a result, the issuance, scope, validity, enforceability and commercial value of our patent rights cannot be predicted with any certainty.</w:t>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 Any patents that we license or may own in the future may be challenged, narrowed, circumvented, or invalidated by third parties. Consequently, we do not know whether any of our Candidates will be protectable or remain protected by valid and enforceable patents. Our competitors or other third parties may be able to circumvent our patents by developing similar or alternative products in a non-infringing manner.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5" w:name="page76"/>
    <w:bookmarkEnd w:id="75"/>
    <w:p>
      <w:pPr>
        <w:ind w:right="60"/>
        <w:spacing w:after="0" w:line="254"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our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Candidates, including biosimilar versions of such products.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licensed patents, and any patents we may own in the future, may be challenged, narrowed, invalidated or held unenforceable.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 Third parties also may raise similar claims before administrative bodies in the United States or abroad, even outside the context of litigation. Such proceedings could result in the revocation or cancellation of or amendment to our licensed patents and any patents we may own in the future in such a way that they no longer cover our Candidates.</w:t>
      </w:r>
    </w:p>
    <w:p>
      <w:pPr>
        <w:spacing w:after="0" w:line="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 Patent and Trademark Office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SGT-003,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inventor, as a result of the work they performed.</w:t>
      </w:r>
    </w:p>
    <w:p>
      <w:pPr>
        <w:spacing w:after="0" w:line="65"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Candidates. Such challenges may also result in our inability to manufacture or commercialize our Candidates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and we may be required to obtain a license from third parties, which may not be available on commercially reasonable terms or at all, or we may need to cease the development, manufacture and commercialization of one or more of our Candidates. In addition, if the breadth or strength of protection provided by the patents and patent applications included in our patent rights is threatened, it could dissuade companies from collaborating with us to license, develop or commercialize current or future Candidates. Such proceedings also may result in substantial cost and require significant time from our scientists and management, even if the eventual outcome is favorable to us.</w:t>
      </w:r>
    </w:p>
    <w:p>
      <w:pPr>
        <w:spacing w:after="0" w:line="9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 competitive therapeutic that provides benefits similar to one or more of our Candidates but that uses a capsid or an expression construct that falls outside the scope of our patent protection. If the patent protection provided by the patents and patent applications we license or pursue with respect to our Candidates is not sufficiently broad to impede such competition, our ability to successfully commercialize our Candidates could be negatively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depend, and will continue to depend, on our license, collaboration and other similar agreements. Further development and commercialization of our Candidates and platform technologies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impact our ability to sublicense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licenses or material relationships are terminated or breached, we may:</w:t>
      </w:r>
    </w:p>
    <w:p>
      <w:pPr>
        <w:spacing w:after="0" w:line="117"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protection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Candidates.</w:t>
      </w:r>
    </w:p>
    <w:p>
      <w:pPr>
        <w:spacing w:after="0" w:line="329"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or plan to enter into, license agreements with third parties and may need to obtain additional licenses from one or more of these same third parties or from others to advance our research or allow our commercialization of our Candidates. It is possible that we may be unable to obtain such licenses at a reasonable cost or on reasonable terms, if at all. In that event, we may be required to expend significant time and resources to redesign Candidates or the methods for manufacturing them or to develop or license replacement products, all of which may not be feasible on a technical or commercial basis. If we are unable to do so, we may be unable to develop or commercialize our Candidates. We cannot provide any assurances that third-party patents or other intellectual property rights do not exist that might be enforced against our manufacturing methods, Candidates or any technologies we may develop, resulting in either an injunction prohibiting our manufacture or sales, or, with respect to our sales, an obligation on our part to pay royalties and/or other forms of compensation to third parties.</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majority of our existing license agreements provide the licensor sole control of patent prosecution of the licensed technology, and we may be required to reimburse the licensor for their costs of patent prosecution. Future license agreements may require the same.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certain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Candidates. Disputes may arise regarding intellectual property subject to our licensing agreements, including:</w:t>
      </w:r>
    </w:p>
    <w:p>
      <w:pPr>
        <w:spacing w:after="0" w:line="81"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or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7" w:name="page78"/>
    <w:bookmarkEnd w:id="77"/>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licensed patented inventions.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future collaborators to develop, manufacture, market and sell our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our Candidates,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the vast number of patents in our field of technology, we cannot be certain or guarantee that a court would hold that any of our Candidates do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Candidates and we may or may not be aware of such patents. If a patent holder believes the manufacture, use, sale or importation of one of our Candidates infringes its patent, the patent holder may sue us even if we have licensed other patent protection for our Candidates.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which we may need a license to develop and commercialize our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Candidates. In addition, we may be unaware of one or more issued patents that would be infringed by the manufacture, sale or use of a current or future Candidate, or we may incorrectly conclude that a third-party patent is invalid, unenforceable or not infringed by our activities. Additionally, pending patent applications that have been published can, subject to certain limitations, be later amended in a manner that could cover our Candidates.</w:t>
      </w:r>
    </w:p>
    <w:p>
      <w:pPr>
        <w:spacing w:after="0" w:line="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third parties may claim that gene or protein of interest, such as microdystrophin, or the AAV capsids we are developing for use in our Candidates are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our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invalidity of any such U.S. patent claim, there is no assurance that a court of competent jurisdiction would invalidate the claims of any such U.S. patent.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there is no assurance that a court of competent jurisdiction would find that our Candidates did not infringe a third-party patent.</w:t>
      </w:r>
    </w:p>
    <w:p>
      <w:pPr>
        <w:spacing w:after="0" w:line="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Candidate.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Candidates or force us to cease some or all of our business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including such rights licensed from the University of Missouri, the University of Washington and the University of Florida, are stated to have been generated through the use of U.S. government funding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spacing w:after="0" w:line="217" w:lineRule="exact"/>
        <w:rPr>
          <w:sz w:val="20"/>
          <w:szCs w:val="20"/>
          <w:color w:val="auto"/>
        </w:rPr>
      </w:pPr>
      <w:r>
        <w:rPr>
          <w:rFonts w:ascii="Times New Roman" w:cs="Times New Roman" w:eastAsia="Times New Roman" w:hAnsi="Times New Roman"/>
          <w:sz w:val="18"/>
          <w:szCs w:val="18"/>
          <w:color w:val="auto"/>
        </w:rPr>
        <w:t>and may therefore be subject to certain federal regulations. As a result, the U.S. government may have certain rights to intellectual property embodied in our current or future Candidates pursuant to the Bayh-Dole Act of 1980 (“Bayh-Dole Act”). These U.S. government rights in certain inventions developed under a government-funded program include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Filing, prosecuting, maintaining, enforcing and defending patents on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U.S. patents lack corresponding foreign patents or patent applications. For example,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Candidates and our patents or other intellectual property rights may not be effective or sufficient to prevent them from competing.</w:t>
      </w:r>
    </w:p>
    <w:p>
      <w:pPr>
        <w:spacing w:after="0" w:line="9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our Candidates or technology platforms that involve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information or technology that is not covered by patents. Aspects of our manufacturing process are protected by trade secrets. However, trade secrets can be difficult to protect and some courts inside and outside the United States are less willing or unwilling to protect trade secrets.</w:t>
      </w:r>
    </w:p>
    <w:p>
      <w:pPr>
        <w:spacing w:after="0" w:line="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0" w:name="page81"/>
    <w:bookmarkEnd w:id="80"/>
    <w:p>
      <w:pPr>
        <w:ind w:right="20"/>
        <w:spacing w:after="0" w:line="254" w:lineRule="auto"/>
        <w:rPr>
          <w:sz w:val="20"/>
          <w:szCs w:val="20"/>
          <w:color w:val="auto"/>
        </w:rPr>
      </w:pPr>
      <w:r>
        <w:rPr>
          <w:rFonts w:ascii="Times New Roman" w:cs="Times New Roman" w:eastAsia="Times New Roman" w:hAnsi="Times New Roman"/>
          <w:sz w:val="18"/>
          <w:szCs w:val="18"/>
          <w:color w:val="auto"/>
        </w:rPr>
        <w:t>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could purchase our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Candidates. Moreover, any such litigation or the threat of such litigation may adversely affect our ability to hire employees or contract with independent contractors. A loss of key personnel or their work product could hamper or prevent our ability to commercialize our Candidates. Even if we are successful in defending against such claims, litigation could result in substantial costs and be a distraction to management.</w:t>
      </w:r>
    </w:p>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Candidates.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ind w:right="780"/>
        <w:spacing w:after="0" w:line="282" w:lineRule="auto"/>
        <w:rPr>
          <w:sz w:val="20"/>
          <w:szCs w:val="20"/>
          <w:color w:val="auto"/>
        </w:rPr>
      </w:pPr>
      <w:r>
        <w:rPr>
          <w:rFonts w:ascii="Times New Roman" w:cs="Times New Roman" w:eastAsia="Times New Roman" w:hAnsi="Times New Roman"/>
          <w:sz w:val="18"/>
          <w:szCs w:val="18"/>
          <w:color w:val="auto"/>
        </w:rPr>
        <w:t>implement various regulations. However, the Leahy-Smith Act and its implementation could increase the uncertainties and costs surrounding the prosecution of our patent applications and the enforcement or defense of our issued patents.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companies engaged in the development and commercialization of biologics and pharmaceuticals are particularly uncertain. Two cases involving diagnostic method claims and “gene patents” have been decided by the U.S. Supreme Court. On March 20, 2012, the U.S. Supreme Court issued a decision in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xml:space="preserve"> (“Prometheus”), a case involving patent claims directed to a process of measuring a metabolic product in a patient to optimize a drug dosage for the patient. According to the U.S.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U.S. Supreme Court issued its decision in Association for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xml:space="preserve">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2014, the USPTO issued a guidance to its patent examiners for evaluating claims for patent subject matter eligibility under the relevant statute (35 U.S.C. § 101). This guidance was in response to a series of decisions from the U.S. Supreme Court on patent claims reciting judicial exceptions, including Abstract Ideas, Laws of Nature/Natural Principles, Natural Phenomena and/or Natural Products. Based on judicial decisions and public feedback, several supplements to this guidance and additional memoranda and materials have since been issued and are continually being issued, while the current eligibility guidance has been incorporated into the latest (10th) edition of the MPEP (Manual for Patent Examination Procedure), last revised in June 2020. The current subject matter eligibility guideline instructs USPTO examiners to follow a two-part test, set forth in the U.S. Supreme Court decisions Alice/Mayo, as the only test that should be used to evaluate the eligibility of claims under examination, including claims directed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current USPTO subject matter eligibility guidance and the constantly evolving case law, together with contemplated congressional action, could all impact our ability to pursue similar patent claims in patent applications we may prosecute in the future.</w:t>
      </w:r>
    </w:p>
    <w:p>
      <w:pPr>
        <w:spacing w:after="0" w:line="8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cannot assure our stockholders that our efforts to seek patent protection for our Candidates will not be negatively impacted by the decisions described above, rulings in other cases or changes in guidance or procedures issued by the USPTO. We cannot fully predict what impact the U.S. Supreme Court’s decisions in Prometheus and Myriad may have on the ability of life science companies to obtain or enforce patents relating to their products in the future.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33"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Moreover, although the U.S. Supreme Court has held in Myriad that isolated segments of naturally occurring DNA are not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subject matter, certain third parties could allege that activities that we may undertake infringe other gene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patents relating to our Candidates, our business may be materially harmed.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Candidates, one or more U.S. patents that we license or may own in the future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2" w:name="page83"/>
    <w:bookmarkEnd w:id="82"/>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registered trademarks with the USPTO for the marks “SOLID BIOSCIENCES”, and “SOLID BIOSCIENCES” logo and registered marks in foreign jurisdictions for “SOLID BIOSCIENCES”, “SOLID GT” and “SOLID BIOSCIENCES” logo.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2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Candidates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and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products or duplicate any of our processes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 how, and a third party may subsequently file a patent covering such intellectual property.</w:t>
      </w:r>
    </w:p>
    <w:p>
      <w:pPr>
        <w:spacing w:after="0" w:line="26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Candidates that are licensed and regulated as biologics may face competition from biosimilars approved through an abbreviated regulatory pathway.</w:t>
      </w:r>
    </w:p>
    <w:p>
      <w:pPr>
        <w:spacing w:after="0" w:line="5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(“BPCIA”) was enacted as part of the Health Care Reform Law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the BPCIA, a reference biological product is granted 12 years of regulatory exclusivity from the time of first licensure of the product, and the FDA will not accept an application for a biosimilar or interchangeable product based on the reference biological product until four years after the date of first licensure of the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83" w:name="page84"/>
    <w:bookmarkEnd w:id="83"/>
    <w:p>
      <w:pPr>
        <w:ind w:right="340"/>
        <w:spacing w:after="0" w:line="266" w:lineRule="auto"/>
        <w:rPr>
          <w:sz w:val="20"/>
          <w:szCs w:val="20"/>
          <w:color w:val="auto"/>
        </w:rPr>
      </w:pPr>
      <w:r>
        <w:rPr>
          <w:rFonts w:ascii="Times New Roman" w:cs="Times New Roman" w:eastAsia="Times New Roman" w:hAnsi="Times New Roman"/>
          <w:sz w:val="18"/>
          <w:szCs w:val="18"/>
          <w:color w:val="auto"/>
        </w:rPr>
        <w:t>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2022, Congress clarified through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w:t>
      </w:r>
    </w:p>
    <w:p>
      <w:pPr>
        <w:spacing w:after="0" w:line="72"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We believe that any of the Candidates we develop as a biological product under a BLA should qualify for the 12-year period of exclusivity. However, there is a risk that this exclusivity could be shortened due to congressional action or otherwise, or that the FDA will not consider the subject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biological products will depend on a number of marketplace and regulatory factors that are still developing. Nonetheless, the approval of a biosimilar to our Candidates would have a material adverse impact on our business due to increased competition and pricing pressure.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maintain the ability to control or significantly influence all matters submitted to our stockholders for approval.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and principal stockholders, in the aggregate, beneficially own shares representing a significant percentage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concentration of voting power may:</w:t>
      </w:r>
    </w:p>
    <w:p>
      <w:pPr>
        <w:spacing w:after="0" w:line="117" w:lineRule="exact"/>
        <w:rPr>
          <w:sz w:val="20"/>
          <w:szCs w:val="20"/>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our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on terms that other stockholders may desire.</w:t>
      </w:r>
    </w:p>
    <w:p>
      <w:pPr>
        <w:spacing w:after="0" w:line="32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number of our total outstanding shares may be sold into the market in the near future, which could cause the market price of our common stock to drop significantly, even if our business is performing well.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2020, in connection with the execution of our collaboration and license agreement with Ultragenyx, we issued and sold 521,719 shares of our common stock to Ultragenyx. For the ten-year period after date of such sale, subject to specified conditions, we have agreed to file a registration statement in order to register all or a portion of the shares sold to Ultragenyx.</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December 2024, in connection with the execution of our collaboration, patent and know-how license agreement with Mayo Foundation for Medical Education and Research (“Mayo”), we issued 364,990 shares of our common stock to Mayo in a private placement. In February 2025, we made the first milestone payment of 975,496 shares of our common stock to FA212 following the FDA’s clearance of our IND for SGT-212 for the treatment of FA. In January 2026, we made the second milestone payment of 1,316,899 shares of our common stock to FA212 following the dosing of the first participant in the Phase 1b FALCON clinical trial of SGT-212. We have filed resale registration statements to register all of the shares issued to Mayo and FA212.</w:t>
      </w:r>
    </w:p>
    <w:p>
      <w:pPr>
        <w:spacing w:after="0" w:line="75"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In July 2019, December 2020, January 2024 and March 2026, we completed private placements, and in February 2025 we completed a public offering, of shares of our common stock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shares of our common stock to several accredited investors. In December 2022, we also issued shares of our common stock in the Acquisition and in a related private placement to several accredited investors. We have filed registration statements covering the resale of these shares by the purchasers in these private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4" w:name="page85"/>
    <w:bookmarkEnd w:id="84"/>
    <w:p>
      <w:pPr>
        <w:ind w:right="220"/>
        <w:spacing w:after="0" w:line="282" w:lineRule="auto"/>
        <w:rPr>
          <w:sz w:val="20"/>
          <w:szCs w:val="20"/>
          <w:color w:val="auto"/>
        </w:rPr>
      </w:pPr>
      <w:r>
        <w:rPr>
          <w:rFonts w:ascii="Times New Roman" w:cs="Times New Roman" w:eastAsia="Times New Roman" w:hAnsi="Times New Roman"/>
          <w:sz w:val="18"/>
          <w:szCs w:val="18"/>
          <w:color w:val="auto"/>
        </w:rPr>
        <w:t>placements, and the stock consideration issued in the Acquisition, and have agreed to keep such registration statements effective until the date the shares covered by the respective registration statement have been sold or can be resold without restriction under Rule 144 of the Securities Act.</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have on file with the SEC universal shelf registration statements which allow us to offer and sell registered common stock, preferred stock, debt securities, depositary shares, warrants and/or units from time to time pursuant to one or more offerings at prices and terms to be determined at the time of sale.</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in the future is likely to be, volatile and fluctuate substantially, which could result in substantial losses for holders of our common stock.</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spacing w:after="0" w:line="72" w:lineRule="exact"/>
        <w:rPr>
          <w:sz w:val="20"/>
          <w:szCs w:val="20"/>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proposed business strategy;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Candidates or those of our competitors;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the European Union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Candidates, or our clinical development programs and our commercialization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development timelines;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Candidates;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emergencies or pandemics on both the healthcare system and the patient population;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for our stock and daily share volumes transacted;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Select Market;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quarterly fluctuations in our operating results may, in turn, cause the price of our stock to fluctuate substantially.</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5" w:name="page86"/>
    <w:bookmarkEnd w:id="85"/>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often has been instituted against that company. We and certain of our executive officers and board members have previously been named as defendants in purported class action lawsuits. Any such litigation instituted against us could cause us to incur substantial costs to defend such claims and divert management’s attention and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if at all.</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so long as the market value of our common stock held by non-affiliates is less than $250 million measured on the last business day of our second fiscal quarter, or our annual revenues are less than $100 million during the most recently completed fiscal year and the market value of our common stock held by non-affiliates is less than $700 million measured on the last business day of our second fiscal quarter. Smaller reporting companies are able to provide simplified executive compensation disclosure and have certain other reduced disclosure obligations, including, among other things, being permitted to provide only two years of audited financial statements, with correspondingly reduced “Management’s Discussion and Analysis of Financial Condition and Results of Operations”.</w:t>
      </w:r>
    </w:p>
    <w:p>
      <w:pPr>
        <w:spacing w:after="0" w:line="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our filings with the SEC.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Those expenses will increase if we do not remain a smaller reporting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are required to furnish a report by our management on our internal control over financial reporting. However, while we remain a smaller reporting company with less than $100 million in annual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6" w:name="page87"/>
    <w:bookmarkEnd w:id="8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is the only sole source of gain for an investment in our common stock.</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We do not intend to have this choice of forum provision apply to, and this choice of forum provision will not apply to, actions arising under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Risks Related to Lease Disruptions, Laboratory Infrastructure and Potential Displacement</w:t>
      </w:r>
    </w:p>
    <w:p>
      <w:pPr>
        <w:spacing w:after="0" w:line="19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our leased office and laboratory facilities, including landlord-initiated upgrades or limitations on our quiet enjoyment rights, could materially impair our operations and require us to incur significant costs to secure alternative space.</w:t>
      </w:r>
    </w:p>
    <w:p>
      <w:pPr>
        <w:spacing w:after="0" w:line="105"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We lease office and laboratory facilities that are critical to our operations and that depend on specialized infrastructure, including HVAC systems, environmental controls, uninterrupted power supply, backup generation, water and drainage systems, chemical storage and handling capabilities, and compliance with applicable health, safety and environmental regulations. Our lease agreements typically require landlords to maintain building and building systems. These activities, as well as failures or interruptions in building systems, may disrupt our operations, limit access to portions of our facilities, or otherwise interfere with our use and enjoyment of the premises.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laboratory operations, even temporary interruptions—such as fluctuations in temperature, vibration, sound, ventilation, or power—can result in loss of research materials, compromise of experiments, damage to sensitive equipment, or delays in development timelines. In addition, disruptions may affect our ability to maintain required regulatory, quality, or biosafety standards, which could lead to compliance issues or the need to suspend certain activities.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disruptions to our facilities are prolonged or significant, we may need to temporarily or permanently relocate some or all of our operations. Suitable replacement space for laboratory use may require substantial buildout, permitting, validation and regulatory approvals before it can be used. As a result, we may be unable to secure alternative facilities on acceptable timelines or terms. Any relocation or expansion into new space could involve significant costs, including lease termination or modification fees, duplicative rent, tenant improvement expenses, equipment requalification, and operational downtime. We may also experience reduced productivity, loss of key personnel, or delays in our research, development or regulatory activities during any transition period.</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not be successful in obtaining adequate remedies for any such issues, and some, such as rent abatement, may not fully offset the financial or operational impact of disruptions. Accordingly, disruptions affecting our leased office and laboratory facilities could have a material adverse effect on our business, financial condition, results of operations and ability to execute our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as set forth below, we did not sell any securities during the three months ended March 31, 2026 that were not registered under the Securities Act of 1933, as amended (the "Securities Act"), and that have not otherwise been described in a Current Report on Form 8-K.</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Following the dosing of the first participant in the Phase 1b FALCON clinical trial of SGT-212, a $7.5 million development milestone became payable to FA212 LLC. On January 15, 2026, we made the milestone payment in the form of 1,316,899 shares of our common stock, see Note 2 - </w:t>
      </w:r>
      <w:r>
        <w:rPr>
          <w:rFonts w:ascii="Times New Roman" w:cs="Times New Roman" w:eastAsia="Times New Roman" w:hAnsi="Times New Roman"/>
          <w:sz w:val="18"/>
          <w:szCs w:val="18"/>
          <w:i w:val="1"/>
          <w:iCs w:val="1"/>
          <w:color w:val="auto"/>
        </w:rPr>
        <w:t>FA212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The shares were issued in reliance on the exemption from registration contained in Section 4(a)(2) of the Securities Act as a privately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negotiated transaction not involving any public offer or solicitation. On March 19, 2026, we filed a registration statement covering the resale of the shares of common stock issued to FA212 LLC, which was declared effective on March 31, 2026. None of the shares were sold through an underwriter and accordingly, there were no underwriting discounts or commissions involved.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320" w:firstLine="8"/>
        <w:spacing w:after="0" w:line="282"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first quarter of 2026.</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1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200" w:type="dxa"/>
            <w:vAlign w:val="bottom"/>
            <w:gridSpan w:val="3"/>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20" w:type="dxa"/>
            <w:vAlign w:val="bottom"/>
          </w:tcPr>
          <w:p>
            <w:pPr>
              <w:spacing w:after="0"/>
              <w:rPr>
                <w:sz w:val="24"/>
                <w:szCs w:val="24"/>
                <w:color w:val="auto"/>
              </w:rPr>
            </w:pPr>
          </w:p>
        </w:tc>
        <w:tc>
          <w:tcPr>
            <w:tcW w:w="9220" w:type="dxa"/>
            <w:vAlign w:val="bottom"/>
            <w:gridSpan w:val="15"/>
          </w:tcPr>
          <w:p>
            <w:pPr>
              <w:spacing w:after="0"/>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Form of Unregistered Pre-Funded Warrant (incorporated by reference to Exhibit 4.1 to the Registrant’s Current Report on Form</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8-K filed with the Securities and Exchange Commission on March 6, 2026).</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tcBorders>
              <w:right w:val="single" w:sz="8" w:color="0000EE"/>
            </w:tcBorders>
            <w:gridSpan w:val="2"/>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11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10.1†*</w:t>
            </w: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Summary of Non-Employee Director Compensation Program</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4"/>
                <w:szCs w:val="24"/>
                <w:color w:val="auto"/>
              </w:rPr>
            </w:pPr>
          </w:p>
        </w:tc>
        <w:tc>
          <w:tcPr>
            <w:tcW w:w="9220" w:type="dxa"/>
            <w:vAlign w:val="bottom"/>
            <w:gridSpan w:val="15"/>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of Securities Purchase Agreement, dated March 6, 2026, by and among the Company and the other</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parties thereto (incorporated by reference to Exhibit 10.1 to the Registrant’s Current Report on Form 8-K filed with the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Securities and Exchange Commission on March 6, 2026).</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Pr>
          <w:p>
            <w:pPr>
              <w:spacing w:after="0"/>
              <w:rPr>
                <w:sz w:val="24"/>
                <w:szCs w:val="24"/>
                <w:color w:val="auto"/>
              </w:rPr>
            </w:pPr>
          </w:p>
        </w:tc>
        <w:tc>
          <w:tcPr>
            <w:tcW w:w="9220" w:type="dxa"/>
            <w:vAlign w:val="bottom"/>
            <w:gridSpan w:val="15"/>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of Registration Rights Agreement, dated March 6, 2026, by and among the Company and the other parties thereto</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6"/>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(incorporated by reference to Exhibit 10.2 to the Registrant’s Current Report on Form 8-K filed with the Securities and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gridSpan w:val="6"/>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Exchange Commission on March 6, 2026).</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tcBorders>
              <w:right w:val="single" w:sz="8" w:color="0000EE"/>
            </w:tcBorders>
            <w:gridSpan w:val="2"/>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 w:type="dxa"/>
            <w:vAlign w:val="bottom"/>
          </w:tcPr>
          <w:p>
            <w:pPr>
              <w:spacing w:after="0"/>
              <w:rPr>
                <w:sz w:val="24"/>
                <w:szCs w:val="24"/>
                <w:color w:val="auto"/>
              </w:rPr>
            </w:pPr>
          </w:p>
        </w:tc>
        <w:tc>
          <w:tcPr>
            <w:tcW w:w="112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10.4†</w:t>
            </w:r>
          </w:p>
        </w:tc>
        <w:tc>
          <w:tcPr>
            <w:tcW w:w="9220" w:type="dxa"/>
            <w:vAlign w:val="bottom"/>
            <w:gridSpan w:val="15"/>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Executive Chair Agreement, effective January 1, 2022, by and between Solid Biosciences Inc. and Ian F. Smith, as amended by</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7"/>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the First Amendment to Executive Chair Agreement, effective September 30, 2022, Second Amendment to the Executive Chair</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7"/>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Agreement, effective January 1, 2024, Third Amendment to the Executive Chair Agreement, effective January 6, 2025 and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7"/>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Fourth Amendment to Executive Chair Agreement, effective January 1, 2026 (incorporated by reference to Exhibit 10.14 to the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7"/>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Registrant’s Annual Report on Form 10-K filed with the Securities and Exchange Commission on March 19, 2026).</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7"/>
            <w:shd w:val="clear" w:color="auto" w:fill="0000FF"/>
          </w:tcPr>
          <w:p>
            <w:pPr>
              <w:spacing w:after="0" w:line="20" w:lineRule="exact"/>
              <w:rPr>
                <w:sz w:val="1"/>
                <w:szCs w:val="1"/>
                <w:color w:val="auto"/>
              </w:rPr>
            </w:pPr>
          </w:p>
        </w:tc>
        <w:tc>
          <w:tcPr>
            <w:tcW w:w="272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62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gridSpan w:val="7"/>
            <w:shd w:val="clear" w:color="auto" w:fill="0000FF"/>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EE"/>
            </w:tcBorders>
            <w:gridSpan w:val="7"/>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62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760" w:type="dxa"/>
            <w:vAlign w:val="bottom"/>
            <w:gridSpan w:val="11"/>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560" w:type="dxa"/>
            <w:vAlign w:val="bottom"/>
            <w:tcBorders>
              <w:right w:val="single" w:sz="8" w:color="0000EE"/>
            </w:tcBorders>
            <w:gridSpan w:val="7"/>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760" w:type="dxa"/>
            <w:vAlign w:val="bottom"/>
            <w:gridSpan w:val="11"/>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760" w:type="dxa"/>
            <w:vAlign w:val="bottom"/>
            <w:gridSpan w:val="11"/>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620" w:type="dxa"/>
            <w:vAlign w:val="bottom"/>
          </w:tcPr>
          <w:p>
            <w:pPr>
              <w:spacing w:after="0"/>
              <w:rPr>
                <w:sz w:val="24"/>
                <w:szCs w:val="24"/>
                <w:color w:val="auto"/>
              </w:rPr>
            </w:pP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20" w:type="dxa"/>
            <w:vAlign w:val="bottom"/>
            <w:gridSpan w:val="1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gridSpan w:val="3"/>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101.INS</w:t>
            </w: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7"/>
        </w:trPr>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101.SCH</w:t>
            </w:r>
          </w:p>
        </w:tc>
        <w:tc>
          <w:tcPr>
            <w:tcW w:w="9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820" w:hanging="1011"/>
        <w:spacing w:after="0"/>
        <w:tabs>
          <w:tab w:leader="none" w:pos="18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80" w:hanging="227"/>
        <w:spacing w:after="0"/>
        <w:tabs>
          <w:tab w:leader="none" w:pos="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32" w:right="51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Solid Biosciences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 /s/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629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Alexander Cumbo</w:t>
      </w:r>
    </w:p>
    <w:p>
      <w:pPr>
        <w:spacing w:after="0" w:line="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47"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 /s/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26035</wp:posOffset>
            </wp:positionV>
            <wp:extent cx="31629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Kevin Tan</w:t>
      </w:r>
    </w:p>
    <w:p>
      <w:pPr>
        <w:spacing w:after="0" w:line="23"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SOLID BIOSCIENCES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20"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The non-employee directors of Solid Biosciences Inc. (the “Company”) shall receive the following compensation for their service as members of the Board of Directors of the Company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p>
      <w:pPr>
        <w:spacing w:after="0" w:line="22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fees that will be paid to our non-employee directors for service on the Board, and for service on each committee of the Board on which the director is then a member, and the fees that will be paid to the chairperson of each committee of the Board will be as follows: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749"/>
        </w:trPr>
        <w:tc>
          <w:tcPr>
            <w:tcW w:w="51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0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Member Annual Fee</w:t>
            </w:r>
          </w:p>
        </w:tc>
        <w:tc>
          <w:tcPr>
            <w:tcW w:w="390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Chairperson Incremental Annual Fee</w:t>
            </w:r>
          </w:p>
        </w:tc>
      </w:tr>
      <w:tr>
        <w:trPr>
          <w:trHeight w:val="220"/>
        </w:trPr>
        <w:tc>
          <w:tcPr>
            <w:tcW w:w="514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Board of Directors</w:t>
            </w:r>
          </w:p>
        </w:tc>
        <w:tc>
          <w:tcPr>
            <w:tcW w:w="220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$40,000</w:t>
            </w:r>
          </w:p>
        </w:tc>
        <w:tc>
          <w:tcPr>
            <w:tcW w:w="3900" w:type="dxa"/>
            <w:vAlign w:val="bottom"/>
            <w:tcBorders>
              <w:bottom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0"/>
                <w:szCs w:val="20"/>
                <w:color w:val="auto"/>
              </w:rPr>
              <w:t>$35,000</w:t>
            </w:r>
          </w:p>
        </w:tc>
      </w:tr>
      <w:tr>
        <w:trPr>
          <w:trHeight w:val="237"/>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Audit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$10,000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$20,000</w:t>
            </w:r>
          </w:p>
        </w:tc>
      </w:tr>
      <w:tr>
        <w:trPr>
          <w:trHeight w:val="236"/>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Clinical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$7,500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$7,500</w:t>
            </w:r>
          </w:p>
        </w:tc>
      </w:tr>
      <w:tr>
        <w:trPr>
          <w:trHeight w:val="237"/>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Compensation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$6,000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$12,000</w:t>
            </w:r>
          </w:p>
        </w:tc>
      </w:tr>
      <w:tr>
        <w:trPr>
          <w:trHeight w:val="237"/>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Nominating and Corporate Governance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$5,000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$10,000</w:t>
            </w:r>
          </w:p>
        </w:tc>
      </w:tr>
    </w:tbl>
    <w:p>
      <w:pPr>
        <w:spacing w:after="0" w:line="20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foregoing fees will be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on such committee or in such position, and no fee shall be payable in respect of any period prior to the completion of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u w:val="single" w:color="auto"/>
          <w:color w:val="auto"/>
        </w:rPr>
        <w:t>Initial Stock Option Grants</w:t>
      </w:r>
      <w:r>
        <w:rPr>
          <w:rFonts w:ascii="Times New Roman" w:cs="Times New Roman" w:eastAsia="Times New Roman" w:hAnsi="Times New Roman"/>
          <w:sz w:val="20"/>
          <w:szCs w:val="20"/>
          <w:color w:val="auto"/>
        </w:rPr>
        <w:t>. Upon initial election to our Board, each non-employee director will be granted, automatically and without the need for any further action by the Board, an initial equity award of an option to purchase 155,000 shares of our common stock. The option shall have a term of ten years from the grant date and shall vest and become exercisable as to 1/3 of the shares underlying such option on each anniversary of the grant date until the third anniversary of the grant date, subject to the director’s continued service as a director through each applicable vesting date. The vesting shall accelerate as to 100% of the shares upon a change in control of the Company. The exercise price shall be the closing price of our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1293495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ind w:right="80"/>
        <w:spacing w:after="0" w:line="259" w:lineRule="auto"/>
        <w:rPr>
          <w:sz w:val="20"/>
          <w:szCs w:val="20"/>
          <w:color w:val="auto"/>
        </w:rPr>
      </w:pPr>
      <w:r>
        <w:rPr>
          <w:rFonts w:ascii="Times New Roman" w:cs="Times New Roman" w:eastAsia="Times New Roman" w:hAnsi="Times New Roman"/>
          <w:sz w:val="19"/>
          <w:szCs w:val="19"/>
          <w:u w:val="single" w:color="auto"/>
          <w:color w:val="auto"/>
        </w:rPr>
        <w:t>Annual Stock Option Grants.</w:t>
      </w:r>
      <w:r>
        <w:rPr>
          <w:rFonts w:ascii="Times New Roman" w:cs="Times New Roman" w:eastAsia="Times New Roman" w:hAnsi="Times New Roman"/>
          <w:sz w:val="19"/>
          <w:szCs w:val="19"/>
          <w:color w:val="auto"/>
        </w:rPr>
        <w:t xml:space="preserve"> Each non-employee director who has served as a member of our Board for at least six months prior to the date of our annual meeting of stockholders for a particular year will be granted, automatically and without the need for any further action by the Board, an equity award on the date of such annual meeting of an option to purchase 77,500 shares of our common stock. The option shall have a term of ten years from the grant date and shall vest and become exercisable in full on the earlier to occur of the one-year anniversary of the grant date and immediately prior to our first annual meeting of stockholders occurring after the grant date, subject, in each case, to the director’s continued service as a director through the applicable vesting date. The vesting shall accelerate as to 100% of the shares upon a change in control of the Company. The exercise price shall be the closing price of our common stock on the date of grant.</w:t>
      </w:r>
    </w:p>
    <w:p>
      <w:pPr>
        <w:spacing w:after="0" w:line="17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foregoing share amounts shall be adjusted in the event of certain changes in the capital structure or business of the Company, including any stock split, reverse stock split, stock dividend, combination or reclassification of shares, recapitalization, spin off or other similar change in the Company’s capitalization and any non-cash dividend or distribution to holders of common stock, in each case in accordance with the terms of our 2020 Equity Incentive Plan, or any successor plan.</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initial stock option awards and the annual stock option awards shall be subject to the terms and conditions of our Amended and Restated 2020 Equity Incentive Plan, as amended, or any successor plan, and the terms of the option agreements entered into with each director in connection with such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Upon presentation of documentation of such expenses reasonably satisfactory to the Company, each non-employee director shall be reimbursed for his or her reasonable out-of-pocket business expenses incurred in connection with the performance of their duties as directors, including travel expenses in connection with their attendance in-person at Board and committee meetings.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June 16, 2020, as amended June 7, 2022, December 13, 2022, June 11, 2024 and June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1315720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2" w:name="page93"/>
    <w:bookmarkEnd w:id="9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15d-14(a), as adopted pursuant to Section 302 of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Cumbo,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Solid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Cumbo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3" w:name="page94"/>
    <w:bookmarkEnd w:id="9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15d-14(a), as adopted pursuant to Section 302 of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Tan,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Solid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Tan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Solid Biosciences Inc. (the “Company”) for the quarter ended March 31, 2026 as filed with the Securities and Exchange Commission on the date hereof (the “Report”), the undersigned, Alexander Cumbo,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8"/>
          <w:szCs w:val="18"/>
          <w:color w:val="auto"/>
        </w:rPr>
        <w:t>Dated: May 12, 2026</w:t>
      </w:r>
      <w:r>
        <w:rPr>
          <w:sz w:val="20"/>
          <w:szCs w:val="20"/>
          <w:color w:val="auto"/>
        </w:rPr>
        <w:tab/>
      </w: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Alexander Cumbo</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Solid Biosciences Inc. (the “Company”) for the quarter ended March 31, 2026 as filed with the Securities and Exchange Commission on the date hereof (the “Report”), the undersigned, Kevin Tan,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spacing w:after="0"/>
        <w:tabs>
          <w:tab w:leader="none" w:pos="6680" w:val="left"/>
        </w:tabs>
        <w:rPr>
          <w:sz w:val="20"/>
          <w:szCs w:val="20"/>
          <w:color w:val="auto"/>
        </w:rPr>
      </w:pPr>
      <w:r>
        <w:rPr>
          <w:rFonts w:ascii="Times New Roman" w:cs="Times New Roman" w:eastAsia="Times New Roman" w:hAnsi="Times New Roman"/>
          <w:sz w:val="18"/>
          <w:szCs w:val="18"/>
          <w:color w:val="auto"/>
        </w:rPr>
        <w:t>Dated: May 12, 2026</w:t>
      </w:r>
      <w:r>
        <w:rPr>
          <w:sz w:val="20"/>
          <w:szCs w:val="20"/>
          <w:color w:val="auto"/>
        </w:rPr>
        <w:tab/>
      </w:r>
      <w:r>
        <w:rPr>
          <w:rFonts w:ascii="Times New Roman" w:cs="Times New Roman" w:eastAsia="Times New Roman" w:hAnsi="Times New Roman"/>
          <w:sz w:val="17"/>
          <w:szCs w:val="17"/>
          <w:color w:val="auto"/>
        </w:rPr>
        <w:t>/s/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Kevin Tan</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lvl w:ilvl="1">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lvl w:ilvl="1">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lvl w:ilvl="1">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lowerLetter"/>
      <w:start w:val="3"/>
    </w:lvl>
  </w:abstractNum>
  <w:abstractNum w:abstractNumId="46">
    <w:nsid w:val="579478FE"/>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7">
    <w:nsid w:val="749ABB43"/>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73" Type="http://schemas.openxmlformats.org/officeDocument/2006/relationships/hyperlink" Target="https://www.sec.gov/Archives/edgar/data/1707502/000119312526096709/d81855dex41.htm" TargetMode="External"/><Relationship Id="rId274" Type="http://schemas.openxmlformats.org/officeDocument/2006/relationships/hyperlink" Target="https://www.sec.gov/Archives/edgar/data/1707502/000119312526096709/d81855dex101.htm" TargetMode="External"/><Relationship Id="rId275" Type="http://schemas.openxmlformats.org/officeDocument/2006/relationships/hyperlink" Target="https://www.sec.gov/Archives/edgar/data/1707502/000119312526096709/d81855dex102.htm" TargetMode="External"/><Relationship Id="rId276" Type="http://schemas.openxmlformats.org/officeDocument/2006/relationships/hyperlink" Target="https://www.sec.gov/Archives/edgar/data/1707502/000119312526115928/sldb-ex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2026-05-12T15:15:37Z</dcterms:created>
  <dcterms:modified xsi:type="dcterms:W3CDTF">2026-05-12T15:15:37Z</dcterms:modified>
</cp:coreProperties>
</file>